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广州酒家（603043.SH）午间分析报告</w:t>
      </w:r>
    </w:p>
    <w:p>
      <w:r>
        <w:rPr>
          <w:rFonts w:ascii="Microsoft YaHei" w:hAnsi="Microsoft YaHei"/>
          <w:b/>
          <w:color w:val="1A1A1A"/>
        </w:rPr>
        <w:t>数据截止时间：2026-07-29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今日大盘呈现探底回升格局，三大指数盘中全线翻红，上涨个股近 </w:t>
      </w:r>
      <w:r>
        <w:rPr>
          <w:rFonts w:ascii="Microsoft YaHei" w:hAnsi="Microsoft YaHei"/>
          <w:b/>
          <w:color w:val="1A1A1A"/>
        </w:rPr>
        <w:t>4000只</w:t>
      </w:r>
      <w:r>
        <w:rPr>
          <w:rFonts w:ascii="Microsoft YaHei" w:hAnsi="Microsoft YaHei"/>
        </w:rPr>
        <w:t>。早盘三大指数一度低开，但在食品饮料、教育、零售等泛消费板块带动下强势反转。昨日（7月28日）创业板指大跌超7%，今日迎来情绪修复。</w:t>
      </w:r>
    </w:p>
    <w:p>
      <w:r>
        <w:rPr>
          <w:rFonts w:ascii="Microsoft YaHei" w:hAnsi="Microsoft YaHei"/>
        </w:rPr>
        <w:t xml:space="preserve">市场整体热度为 </w:t>
      </w:r>
      <w:r>
        <w:rPr>
          <w:rFonts w:ascii="Microsoft YaHei" w:hAnsi="Microsoft YaHei"/>
          <w:b/>
          <w:color w:val="1A1A1A"/>
        </w:rPr>
        <w:t>56（较高）</w:t>
      </w:r>
      <w:r>
        <w:rPr>
          <w:rFonts w:ascii="Microsoft YaHei" w:hAnsi="Microsoft YaHei"/>
        </w:rPr>
        <w:t xml:space="preserve">，上涨占比 </w:t>
      </w:r>
      <w:r>
        <w:rPr>
          <w:rFonts w:ascii="Microsoft YaHei" w:hAnsi="Microsoft YaHei"/>
          <w:b/>
          <w:color w:val="1A1A1A"/>
        </w:rPr>
        <w:t>79%</w:t>
      </w:r>
      <w:r>
        <w:rPr>
          <w:rFonts w:ascii="Microsoft YaHei" w:hAnsi="Microsoft YaHei"/>
        </w:rPr>
        <w:t xml:space="preserve">，涨停58只、跌停19只，赚钱效应46%。食品饮料板块半日涨幅达 </w:t>
      </w:r>
      <w:r>
        <w:rPr>
          <w:rFonts w:ascii="Microsoft YaHei" w:hAnsi="Microsoft YaHei"/>
          <w:b/>
          <w:color w:val="1A1A1A"/>
        </w:rPr>
        <w:t>+2.57%</w:t>
      </w:r>
      <w:r>
        <w:rPr>
          <w:rFonts w:ascii="Microsoft YaHei" w:hAnsi="Microsoft YaHei"/>
        </w:rPr>
        <w:t>，领涨全市场，主要受原奶周期向好及消费复苏预期驱动，板块内一鸣食品、均瑶健康、欢乐家等多只个股涨停。</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13.63元</w:t>
            </w:r>
          </w:p>
        </w:tc>
      </w:tr>
      <w:tr>
        <w:tc>
          <w:tcPr>
            <w:tcW w:type="dxa" w:w="4533"/>
            <w:shd w:fill="F8F9FA" w:val="clear"/>
          </w:tcPr>
          <w:p>
            <w:pPr>
              <w:spacing w:before="40" w:after="40" w:line="288" w:lineRule="auto"/>
            </w:pPr>
            <w:r/>
            <w:r>
              <w:rPr>
                <w:rFonts w:ascii="Microsoft YaHei" w:hAnsi="Microsoft YaHei"/>
                <w:sz w:val="18"/>
              </w:rPr>
              <w:t>涨跌幅</w:t>
            </w:r>
          </w:p>
        </w:tc>
        <w:tc>
          <w:tcPr>
            <w:tcW w:type="dxa" w:w="4533"/>
            <w:shd w:fill="F8F9FA" w:val="clear"/>
          </w:tcPr>
          <w:p>
            <w:pPr>
              <w:spacing w:before="40" w:after="40" w:line="288" w:lineRule="auto"/>
            </w:pPr>
            <w:r/>
            <w:r>
              <w:rPr>
                <w:rFonts w:ascii="Microsoft YaHei" w:hAnsi="Microsoft YaHei"/>
                <w:b/>
                <w:color w:val="1A1A1A"/>
                <w:sz w:val="18"/>
              </w:rPr>
              <w:t>+1.34%</w:t>
            </w:r>
          </w:p>
        </w:tc>
      </w:tr>
      <w:tr>
        <w:tc>
          <w:tcPr>
            <w:tcW w:type="dxa" w:w="4533"/>
          </w:tcPr>
          <w:p>
            <w:pPr>
              <w:spacing w:before="40" w:after="40" w:line="288" w:lineRule="auto"/>
            </w:pPr>
            <w:r/>
            <w:r>
              <w:rPr>
                <w:rFonts w:ascii="Microsoft YaHei" w:hAnsi="Microsoft YaHei"/>
                <w:sz w:val="18"/>
              </w:rPr>
              <w:t>昨收 / 开盘</w:t>
            </w:r>
          </w:p>
        </w:tc>
        <w:tc>
          <w:tcPr>
            <w:tcW w:type="dxa" w:w="4533"/>
          </w:tcPr>
          <w:p>
            <w:pPr>
              <w:spacing w:before="40" w:after="40" w:line="288" w:lineRule="auto"/>
            </w:pPr>
            <w:r/>
            <w:r>
              <w:rPr>
                <w:rFonts w:ascii="Microsoft YaHei" w:hAnsi="Microsoft YaHei"/>
                <w:sz w:val="18"/>
              </w:rPr>
              <w:t>13.45 / 13.48</w:t>
            </w:r>
          </w:p>
        </w:tc>
      </w:tr>
      <w:tr>
        <w:tc>
          <w:tcPr>
            <w:tcW w:type="dxa" w:w="4533"/>
            <w:shd w:fill="F8F9FA" w:val="clear"/>
          </w:tcPr>
          <w:p>
            <w:pPr>
              <w:spacing w:before="40" w:after="40" w:line="288" w:lineRule="auto"/>
            </w:pPr>
            <w:r/>
            <w:r>
              <w:rPr>
                <w:rFonts w:ascii="Microsoft YaHei" w:hAnsi="Microsoft YaHei"/>
                <w:sz w:val="18"/>
              </w:rPr>
              <w:t>最高 / 最低</w:t>
            </w:r>
          </w:p>
        </w:tc>
        <w:tc>
          <w:tcPr>
            <w:tcW w:type="dxa" w:w="4533"/>
            <w:shd w:fill="F8F9FA" w:val="clear"/>
          </w:tcPr>
          <w:p>
            <w:pPr>
              <w:spacing w:before="40" w:after="40" w:line="288" w:lineRule="auto"/>
            </w:pPr>
            <w:r/>
            <w:r>
              <w:rPr>
                <w:rFonts w:ascii="Microsoft YaHei" w:hAnsi="Microsoft YaHei"/>
                <w:sz w:val="18"/>
              </w:rPr>
              <w:t>13.72 / 13.35</w:t>
            </w:r>
          </w:p>
        </w:tc>
      </w:tr>
      <w:tr>
        <w:tc>
          <w:tcPr>
            <w:tcW w:type="dxa" w:w="4533"/>
          </w:tcPr>
          <w:p>
            <w:pPr>
              <w:spacing w:before="40" w:after="40" w:line="288" w:lineRule="auto"/>
            </w:pPr>
            <w:r/>
            <w:r>
              <w:rPr>
                <w:rFonts w:ascii="Microsoft YaHei" w:hAnsi="Microsoft YaHei"/>
                <w:sz w:val="18"/>
              </w:rPr>
              <w:t>振幅</w:t>
            </w:r>
          </w:p>
        </w:tc>
        <w:tc>
          <w:tcPr>
            <w:tcW w:type="dxa" w:w="4533"/>
          </w:tcPr>
          <w:p>
            <w:pPr>
              <w:spacing w:before="40" w:after="40" w:line="288" w:lineRule="auto"/>
            </w:pPr>
            <w:r/>
            <w:r>
              <w:rPr>
                <w:rFonts w:ascii="Microsoft YaHei" w:hAnsi="Microsoft YaHei"/>
                <w:b/>
                <w:color w:val="1A1A1A"/>
                <w:sz w:val="18"/>
              </w:rPr>
              <w:t>2.75%</w:t>
            </w:r>
          </w:p>
        </w:tc>
      </w:tr>
      <w:tr>
        <w:tc>
          <w:tcPr>
            <w:tcW w:type="dxa" w:w="4533"/>
            <w:shd w:fill="F8F9FA" w:val="clear"/>
          </w:tcPr>
          <w:p>
            <w:pPr>
              <w:spacing w:before="40" w:after="40" w:line="288" w:lineRule="auto"/>
            </w:pPr>
            <w:r/>
            <w:r>
              <w:rPr>
                <w:rFonts w:ascii="Microsoft YaHei" w:hAnsi="Microsoft YaHei"/>
                <w:sz w:val="18"/>
              </w:rPr>
              <w:t>成交量</w:t>
            </w:r>
          </w:p>
        </w:tc>
        <w:tc>
          <w:tcPr>
            <w:tcW w:type="dxa" w:w="4533"/>
            <w:shd w:fill="F8F9FA" w:val="clear"/>
          </w:tcPr>
          <w:p>
            <w:pPr>
              <w:spacing w:before="40" w:after="40" w:line="288" w:lineRule="auto"/>
            </w:pPr>
            <w:r/>
            <w:r>
              <w:rPr>
                <w:rFonts w:ascii="Microsoft YaHei" w:hAnsi="Microsoft YaHei"/>
                <w:b/>
                <w:color w:val="1A1A1A"/>
                <w:sz w:val="18"/>
              </w:rPr>
              <w:t>47,445手</w:t>
            </w:r>
          </w:p>
        </w:tc>
      </w:tr>
      <w:tr>
        <w:tc>
          <w:tcPr>
            <w:tcW w:type="dxa" w:w="4533"/>
          </w:tcPr>
          <w:p>
            <w:pPr>
              <w:spacing w:before="40" w:after="40" w:line="288" w:lineRule="auto"/>
            </w:pPr>
            <w:r/>
            <w:r>
              <w:rPr>
                <w:rFonts w:ascii="Microsoft YaHei" w:hAnsi="Microsoft YaHei"/>
                <w:sz w:val="18"/>
              </w:rPr>
              <w:t>成交额</w:t>
            </w:r>
          </w:p>
        </w:tc>
        <w:tc>
          <w:tcPr>
            <w:tcW w:type="dxa" w:w="4533"/>
          </w:tcPr>
          <w:p>
            <w:pPr>
              <w:spacing w:before="40" w:after="40" w:line="288" w:lineRule="auto"/>
            </w:pPr>
            <w:r/>
            <w:r>
              <w:rPr>
                <w:rFonts w:ascii="Microsoft YaHei" w:hAnsi="Microsoft YaHei"/>
                <w:b/>
                <w:color w:val="1A1A1A"/>
                <w:sz w:val="18"/>
              </w:rPr>
              <w:t>6,437万元</w:t>
            </w:r>
          </w:p>
        </w:tc>
      </w:tr>
      <w:tr>
        <w:tc>
          <w:tcPr>
            <w:tcW w:type="dxa" w:w="4533"/>
            <w:shd w:fill="F8F9FA" w:val="clear"/>
          </w:tcPr>
          <w:p>
            <w:pPr>
              <w:spacing w:before="40" w:after="40" w:line="288" w:lineRule="auto"/>
            </w:pPr>
            <w:r/>
            <w:r>
              <w:rPr>
                <w:rFonts w:ascii="Microsoft YaHei" w:hAnsi="Microsoft YaHei"/>
                <w:sz w:val="18"/>
              </w:rPr>
              <w:t>换手率</w:t>
            </w:r>
          </w:p>
        </w:tc>
        <w:tc>
          <w:tcPr>
            <w:tcW w:type="dxa" w:w="4533"/>
            <w:shd w:fill="F8F9FA" w:val="clear"/>
          </w:tcPr>
          <w:p>
            <w:pPr>
              <w:spacing w:before="40" w:after="40" w:line="288" w:lineRule="auto"/>
            </w:pPr>
            <w:r/>
            <w:r>
              <w:rPr>
                <w:rFonts w:ascii="Microsoft YaHei" w:hAnsi="Microsoft YaHei"/>
                <w:b/>
                <w:color w:val="1A1A1A"/>
                <w:sz w:val="18"/>
              </w:rPr>
              <w:t>0.84%</w:t>
            </w:r>
          </w:p>
        </w:tc>
      </w:tr>
      <w:tr>
        <w:tc>
          <w:tcPr>
            <w:tcW w:type="dxa" w:w="4533"/>
          </w:tcPr>
          <w:p>
            <w:pPr>
              <w:spacing w:before="40" w:after="40" w:line="288" w:lineRule="auto"/>
            </w:pPr>
            <w:r/>
            <w:r>
              <w:rPr>
                <w:rFonts w:ascii="Microsoft YaHei" w:hAnsi="Microsoft YaHei"/>
                <w:sz w:val="18"/>
              </w:rPr>
              <w:t>量比</w:t>
            </w:r>
          </w:p>
        </w:tc>
        <w:tc>
          <w:tcPr>
            <w:tcW w:type="dxa" w:w="4533"/>
          </w:tcPr>
          <w:p>
            <w:pPr>
              <w:spacing w:before="40" w:after="40" w:line="288" w:lineRule="auto"/>
            </w:pPr>
            <w:r/>
            <w:r>
              <w:rPr>
                <w:rFonts w:ascii="Microsoft YaHei" w:hAnsi="Microsoft YaHei"/>
                <w:b/>
                <w:color w:val="1A1A1A"/>
                <w:sz w:val="18"/>
              </w:rPr>
              <w:t>1.29</w:t>
            </w:r>
          </w:p>
        </w:tc>
      </w:tr>
      <w:tr>
        <w:tc>
          <w:tcPr>
            <w:tcW w:type="dxa" w:w="4533"/>
            <w:shd w:fill="F8F9FA" w:val="clear"/>
          </w:tcPr>
          <w:p>
            <w:pPr>
              <w:spacing w:before="40" w:after="40" w:line="288" w:lineRule="auto"/>
            </w:pPr>
            <w:r/>
            <w:r>
              <w:rPr>
                <w:rFonts w:ascii="Microsoft YaHei" w:hAnsi="Microsoft YaHei"/>
                <w:sz w:val="18"/>
              </w:rPr>
              <w:t>动态市盈率</w:t>
            </w:r>
          </w:p>
        </w:tc>
        <w:tc>
          <w:tcPr>
            <w:tcW w:type="dxa" w:w="4533"/>
            <w:shd w:fill="F8F9FA" w:val="clear"/>
          </w:tcPr>
          <w:p>
            <w:pPr>
              <w:spacing w:before="40" w:after="40" w:line="288" w:lineRule="auto"/>
            </w:pPr>
            <w:r/>
            <w:r>
              <w:rPr>
                <w:rFonts w:ascii="Microsoft YaHei" w:hAnsi="Microsoft YaHei"/>
                <w:b/>
                <w:color w:val="1A1A1A"/>
                <w:sz w:val="18"/>
              </w:rPr>
              <w:t>36.64</w:t>
            </w:r>
          </w:p>
        </w:tc>
      </w:tr>
      <w:tr>
        <w:tc>
          <w:tcPr>
            <w:tcW w:type="dxa" w:w="4533"/>
          </w:tcPr>
          <w:p>
            <w:pPr>
              <w:spacing w:before="40" w:after="40" w:line="288" w:lineRule="auto"/>
            </w:pPr>
            <w:r/>
            <w:r>
              <w:rPr>
                <w:rFonts w:ascii="Microsoft YaHei" w:hAnsi="Microsoft YaHei"/>
                <w:sz w:val="18"/>
              </w:rPr>
              <w:t>市净率</w:t>
            </w:r>
          </w:p>
        </w:tc>
        <w:tc>
          <w:tcPr>
            <w:tcW w:type="dxa" w:w="4533"/>
          </w:tcPr>
          <w:p>
            <w:pPr>
              <w:spacing w:before="40" w:after="40" w:line="288" w:lineRule="auto"/>
            </w:pPr>
            <w:r/>
            <w:r>
              <w:rPr>
                <w:rFonts w:ascii="Microsoft YaHei" w:hAnsi="Microsoft YaHei"/>
                <w:b/>
                <w:color w:val="1A1A1A"/>
                <w:sz w:val="18"/>
              </w:rPr>
              <w:t>2.05</w:t>
            </w:r>
          </w:p>
        </w:tc>
      </w:tr>
      <w:tr>
        <w:tc>
          <w:tcPr>
            <w:tcW w:type="dxa" w:w="4533"/>
            <w:shd w:fill="F8F9FA" w:val="clear"/>
          </w:tcPr>
          <w:p>
            <w:pPr>
              <w:spacing w:before="40" w:after="40" w:line="288" w:lineRule="auto"/>
            </w:pPr>
            <w:r/>
            <w:r>
              <w:rPr>
                <w:rFonts w:ascii="Microsoft YaHei" w:hAnsi="Microsoft YaHei"/>
                <w:sz w:val="18"/>
              </w:rPr>
              <w:t>总市值 / 流通市值</w:t>
            </w:r>
          </w:p>
        </w:tc>
        <w:tc>
          <w:tcPr>
            <w:tcW w:type="dxa" w:w="4533"/>
            <w:shd w:fill="F8F9FA" w:val="clear"/>
          </w:tcPr>
          <w:p>
            <w:pPr>
              <w:spacing w:before="40" w:after="40" w:line="288" w:lineRule="auto"/>
            </w:pPr>
            <w:r/>
            <w:r>
              <w:rPr>
                <w:rFonts w:ascii="Microsoft YaHei" w:hAnsi="Microsoft YaHei"/>
                <w:sz w:val="18"/>
              </w:rPr>
              <w:t>77.32亿 / 76.66亿</w:t>
            </w:r>
          </w:p>
        </w:tc>
      </w:tr>
    </w:tbl>
    <w:p/>
    <w:p>
      <w:r>
        <w:rPr>
          <w:rFonts w:ascii="Microsoft YaHei" w:hAnsi="Microsoft YaHei"/>
          <w:b/>
          <w:color w:val="1A1A1A"/>
        </w:rPr>
        <w:t>核心解读：</w:t>
      </w:r>
    </w:p>
    <w:p>
      <w:pPr>
        <w:pStyle w:val="ListBullet"/>
      </w:pPr>
      <w:r>
        <w:rPr>
          <w:rFonts w:ascii="Microsoft YaHei" w:hAnsi="Microsoft YaHei"/>
        </w:rPr>
        <w:t xml:space="preserve">个股延续温和上涨，午盘收涨 </w:t>
      </w:r>
      <w:r>
        <w:rPr>
          <w:rFonts w:ascii="Microsoft YaHei" w:hAnsi="Microsoft YaHei"/>
          <w:b/>
          <w:color w:val="1A1A1A"/>
        </w:rPr>
        <w:t>+1.34%</w:t>
      </w:r>
      <w:r>
        <w:rPr>
          <w:rFonts w:ascii="Microsoft YaHei" w:hAnsi="Microsoft YaHei"/>
        </w:rPr>
        <w:t>，跑赢所属的食品板块（-1.04%）及包装食品与肉类板块（-1.28%）。</w:t>
      </w:r>
    </w:p>
    <w:p>
      <w:pPr>
        <w:pStyle w:val="ListBullet"/>
      </w:pPr>
      <w:r>
        <w:rPr>
          <w:rFonts w:ascii="Microsoft YaHei" w:hAnsi="Microsoft YaHei"/>
        </w:rPr>
        <w:t xml:space="preserve">开盘13.48元，盘中最高触及 </w:t>
      </w:r>
      <w:r>
        <w:rPr>
          <w:rFonts w:ascii="Microsoft YaHei" w:hAnsi="Microsoft YaHei"/>
          <w:b/>
          <w:color w:val="1A1A1A"/>
        </w:rPr>
        <w:t>13.72元</w:t>
      </w:r>
      <w:r>
        <w:rPr>
          <w:rFonts w:ascii="Microsoft YaHei" w:hAnsi="Microsoft YaHei"/>
        </w:rPr>
        <w:t>，最低探至13.35元后获得支撑，呈</w:t>
      </w:r>
      <w:r>
        <w:rPr>
          <w:rFonts w:ascii="Microsoft YaHei" w:hAnsi="Microsoft YaHei"/>
          <w:b/>
          <w:color w:val="1A1A1A"/>
        </w:rPr>
        <w:t>先抑后扬</w:t>
      </w:r>
      <w:r>
        <w:rPr>
          <w:rFonts w:ascii="Microsoft YaHei" w:hAnsi="Microsoft YaHei"/>
        </w:rPr>
        <w:t>走势，与大盘探底回升节奏一致。</w:t>
      </w:r>
    </w:p>
    <w:p>
      <w:pPr>
        <w:pStyle w:val="ListBullet"/>
      </w:pPr>
      <w:r>
        <w:rPr>
          <w:rFonts w:ascii="Microsoft YaHei" w:hAnsi="Microsoft YaHei"/>
        </w:rPr>
        <w:t xml:space="preserve">半日换手率 </w:t>
      </w:r>
      <w:r>
        <w:rPr>
          <w:rFonts w:ascii="Microsoft YaHei" w:hAnsi="Microsoft YaHei"/>
          <w:b/>
          <w:color w:val="1A1A1A"/>
        </w:rPr>
        <w:t>0.84%</w:t>
      </w:r>
      <w:r>
        <w:rPr>
          <w:rFonts w:ascii="Microsoft YaHei" w:hAnsi="Microsoft YaHei"/>
        </w:rPr>
        <w:t xml:space="preserve">，较上一交易日全天换手率0.70%放大 </w:t>
      </w:r>
      <w:r>
        <w:rPr>
          <w:rFonts w:ascii="Microsoft YaHei" w:hAnsi="Microsoft YaHei"/>
          <w:b/>
          <w:color w:val="1A1A1A"/>
        </w:rPr>
        <w:t>1.19倍</w:t>
      </w:r>
      <w:r>
        <w:rPr>
          <w:rFonts w:ascii="Microsoft YaHei" w:hAnsi="Microsoft YaHei"/>
        </w:rPr>
        <w:t>，属于</w:t>
      </w:r>
      <w:r>
        <w:rPr>
          <w:rFonts w:ascii="Microsoft YaHei" w:hAnsi="Microsoft YaHei"/>
          <w:b/>
          <w:color w:val="1A1A1A"/>
        </w:rPr>
        <w:t>放量上涨</w:t>
      </w:r>
      <w:r>
        <w:rPr>
          <w:rFonts w:ascii="Microsoft YaHei" w:hAnsi="Microsoft YaHei"/>
        </w:rPr>
        <w:t>，量比1.29表明今日交投活跃度明显提升。</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盘中资金流向</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1,042.26万元</w:t>
            </w:r>
          </w:p>
        </w:tc>
      </w:tr>
      <w:tr>
        <w:tc>
          <w:tcPr>
            <w:tcW w:type="dxa" w:w="4533"/>
            <w:shd w:fill="F8F9FA" w:val="clear"/>
          </w:tcPr>
          <w:p>
            <w:pPr>
              <w:spacing w:before="40" w:after="40" w:line="288" w:lineRule="auto"/>
            </w:pPr>
            <w:r/>
            <w:r>
              <w:rPr>
                <w:rFonts w:ascii="Microsoft YaHei" w:hAnsi="Microsoft YaHei"/>
                <w:sz w:val="18"/>
              </w:rPr>
              <w:t>资金流入分钟数 / 流出分钟数</w:t>
            </w:r>
          </w:p>
        </w:tc>
        <w:tc>
          <w:tcPr>
            <w:tcW w:type="dxa" w:w="4533"/>
            <w:shd w:fill="F8F9FA" w:val="clear"/>
          </w:tcPr>
          <w:p>
            <w:pPr>
              <w:spacing w:before="40" w:after="40" w:line="288" w:lineRule="auto"/>
            </w:pPr>
            <w:r/>
            <w:r>
              <w:rPr>
                <w:rFonts w:ascii="Microsoft YaHei" w:hAnsi="Microsoft YaHei"/>
                <w:b/>
                <w:color w:val="1A1A1A"/>
                <w:sz w:val="18"/>
              </w:rPr>
              <w:t>87分钟 / 26分钟</w:t>
            </w:r>
            <w:r>
              <w:rPr>
                <w:rFonts w:ascii="Microsoft YaHei" w:hAnsi="Microsoft YaHei"/>
                <w:sz w:val="18"/>
              </w:rPr>
              <w:t>（113个统计分钟）</w:t>
            </w:r>
          </w:p>
        </w:tc>
      </w:tr>
      <w:tr>
        <w:tc>
          <w:tcPr>
            <w:tcW w:type="dxa" w:w="4533"/>
          </w:tcPr>
          <w:p>
            <w:pPr>
              <w:spacing w:before="40" w:after="40" w:line="288" w:lineRule="auto"/>
            </w:pPr>
            <w:r/>
            <w:r>
              <w:rPr>
                <w:rFonts w:ascii="Microsoft YaHei" w:hAnsi="Microsoft YaHei"/>
                <w:sz w:val="18"/>
              </w:rPr>
              <w:t>最大单分钟流入 / 流出</w:t>
            </w:r>
          </w:p>
        </w:tc>
        <w:tc>
          <w:tcPr>
            <w:tcW w:type="dxa" w:w="4533"/>
          </w:tcPr>
          <w:p>
            <w:pPr>
              <w:spacing w:before="40" w:after="40" w:line="288" w:lineRule="auto"/>
            </w:pPr>
            <w:r/>
            <w:r>
              <w:rPr>
                <w:rFonts w:ascii="Microsoft YaHei" w:hAnsi="Microsoft YaHei"/>
                <w:sz w:val="18"/>
              </w:rPr>
              <w:t>97.0万 / 40.3万</w:t>
            </w:r>
          </w:p>
        </w:tc>
      </w:tr>
    </w:tbl>
    <w:p/>
    <w:p>
      <w:r>
        <w:rPr>
          <w:rFonts w:ascii="Microsoft YaHei" w:hAnsi="Microsoft YaHei"/>
        </w:rPr>
        <w:t>资金呈现</w:t>
      </w:r>
      <w:r>
        <w:rPr>
          <w:rFonts w:ascii="Microsoft YaHei" w:hAnsi="Microsoft YaHei"/>
          <w:b/>
          <w:color w:val="1A1A1A"/>
        </w:rPr>
        <w:t>持续净流入</w:t>
      </w:r>
      <w:r>
        <w:rPr>
          <w:rFonts w:ascii="Microsoft YaHei" w:hAnsi="Microsoft YaHei"/>
        </w:rPr>
        <w:t xml:space="preserve">态势，流入时长占比高达 </w:t>
      </w:r>
      <w:r>
        <w:rPr>
          <w:rFonts w:ascii="Microsoft YaHei" w:hAnsi="Microsoft YaHei"/>
          <w:b/>
          <w:color w:val="1A1A1A"/>
        </w:rPr>
        <w:t>77%</w:t>
      </w:r>
      <w:r>
        <w:rPr>
          <w:rFonts w:ascii="Microsoft YaHei" w:hAnsi="Microsoft YaHei"/>
        </w:rPr>
        <w:t xml:space="preserve">，单分钟流入峰值是流出峰值的 </w:t>
      </w:r>
      <w:r>
        <w:rPr>
          <w:rFonts w:ascii="Microsoft YaHei" w:hAnsi="Microsoft YaHei"/>
          <w:b/>
          <w:color w:val="1A1A1A"/>
        </w:rPr>
        <w:t>2.4倍</w:t>
      </w:r>
      <w:r>
        <w:rPr>
          <w:rFonts w:ascii="Microsoft YaHei" w:hAnsi="Microsoft YaHei"/>
        </w:rPr>
        <w:t>，买盘主动性强。</w:t>
      </w:r>
    </w:p>
    <w:p>
      <w:pPr>
        <w:spacing w:before="280" w:after="80" w:line="312" w:lineRule="auto"/>
      </w:pPr>
      <w:r>
        <w:rPr>
          <w:rFonts w:ascii="Microsoft YaHei" w:hAnsi="Microsoft YaHei"/>
          <w:b/>
          <w:color w:val="333333"/>
          <w:sz w:val="24"/>
        </w:rPr>
        <w:t>昨日资金细分（元）</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类型</w:t>
            </w:r>
          </w:p>
        </w:tc>
        <w:tc>
          <w:tcPr>
            <w:tcW w:type="dxa" w:w="2266"/>
            <w:shd w:fill="F6F8FA" w:val="clear"/>
          </w:tcPr>
          <w:p>
            <w:pPr>
              <w:spacing w:before="40" w:after="40" w:line="288" w:lineRule="auto"/>
            </w:pPr>
            <w:r/>
            <w:r>
              <w:rPr>
                <w:rFonts w:ascii="Microsoft YaHei" w:hAnsi="Microsoft YaHei"/>
                <w:b/>
                <w:color w:val="1A1A1A"/>
                <w:sz w:val="18"/>
              </w:rPr>
              <w:t>净额</w:t>
            </w:r>
          </w:p>
        </w:tc>
        <w:tc>
          <w:tcPr>
            <w:tcW w:type="dxa" w:w="2266"/>
            <w:shd w:fill="F6F8FA" w:val="clear"/>
          </w:tcPr>
          <w:p>
            <w:pPr>
              <w:spacing w:before="40" w:after="40" w:line="288" w:lineRule="auto"/>
            </w:pPr>
            <w:r/>
            <w:r>
              <w:rPr>
                <w:rFonts w:ascii="Microsoft YaHei" w:hAnsi="Microsoft YaHei"/>
                <w:b/>
                <w:color w:val="1A1A1A"/>
                <w:sz w:val="18"/>
              </w:rPr>
              <w:t>买入</w:t>
            </w:r>
          </w:p>
        </w:tc>
        <w:tc>
          <w:tcPr>
            <w:tcW w:type="dxa" w:w="2266"/>
            <w:shd w:fill="F6F8FA" w:val="clear"/>
          </w:tcPr>
          <w:p>
            <w:pPr>
              <w:spacing w:before="40" w:after="40" w:line="288" w:lineRule="auto"/>
            </w:pPr>
            <w:r/>
            <w:r>
              <w:rPr>
                <w:rFonts w:ascii="Microsoft YaHei" w:hAnsi="Microsoft YaHei"/>
                <w:b/>
                <w:color w:val="1A1A1A"/>
                <w:sz w:val="18"/>
              </w:rPr>
              <w:t>卖出</w:t>
            </w:r>
          </w:p>
        </w:tc>
      </w:tr>
      <w:tr>
        <w:tc>
          <w:tcPr>
            <w:tcW w:type="dxa" w:w="2266"/>
          </w:tcPr>
          <w:p>
            <w:pPr>
              <w:spacing w:before="40" w:after="40" w:line="288" w:lineRule="auto"/>
            </w:pPr>
            <w:r/>
            <w:r>
              <w:rPr>
                <w:rFonts w:ascii="Microsoft YaHei" w:hAnsi="Microsoft YaHei"/>
                <w:sz w:val="18"/>
              </w:rPr>
              <w:t>大单</w:t>
            </w:r>
          </w:p>
        </w:tc>
        <w:tc>
          <w:tcPr>
            <w:tcW w:type="dxa" w:w="2266"/>
          </w:tcPr>
          <w:p>
            <w:pPr>
              <w:spacing w:before="40" w:after="40" w:line="288" w:lineRule="auto"/>
            </w:pPr>
            <w:r/>
            <w:r>
              <w:rPr>
                <w:rFonts w:ascii="Microsoft YaHei" w:hAnsi="Microsoft YaHei"/>
                <w:b/>
                <w:color w:val="1A1A1A"/>
                <w:sz w:val="18"/>
              </w:rPr>
              <w:t>+233.0万</w:t>
            </w:r>
          </w:p>
        </w:tc>
        <w:tc>
          <w:tcPr>
            <w:tcW w:type="dxa" w:w="2266"/>
          </w:tcPr>
          <w:p>
            <w:pPr>
              <w:spacing w:before="40" w:after="40" w:line="288" w:lineRule="auto"/>
            </w:pPr>
            <w:r/>
            <w:r>
              <w:rPr>
                <w:rFonts w:ascii="Microsoft YaHei" w:hAnsi="Microsoft YaHei"/>
                <w:sz w:val="18"/>
              </w:rPr>
              <w:t>363.7万</w:t>
            </w:r>
          </w:p>
        </w:tc>
        <w:tc>
          <w:tcPr>
            <w:tcW w:type="dxa" w:w="2266"/>
          </w:tcPr>
          <w:p>
            <w:pPr>
              <w:spacing w:before="40" w:after="40" w:line="288" w:lineRule="auto"/>
            </w:pPr>
            <w:r/>
            <w:r>
              <w:rPr>
                <w:rFonts w:ascii="Microsoft YaHei" w:hAnsi="Microsoft YaHei"/>
                <w:sz w:val="18"/>
              </w:rPr>
              <w:t>130.7万</w:t>
            </w:r>
          </w:p>
        </w:tc>
      </w:tr>
      <w:tr>
        <w:tc>
          <w:tcPr>
            <w:tcW w:type="dxa" w:w="2266"/>
            <w:shd w:fill="F8F9FA" w:val="clear"/>
          </w:tcPr>
          <w:p>
            <w:pPr>
              <w:spacing w:before="40" w:after="40" w:line="288" w:lineRule="auto"/>
            </w:pPr>
            <w:r/>
            <w:r>
              <w:rPr>
                <w:rFonts w:ascii="Microsoft YaHei" w:hAnsi="Microsoft YaHei"/>
                <w:sz w:val="18"/>
              </w:rPr>
              <w:t>中单</w:t>
            </w:r>
          </w:p>
        </w:tc>
        <w:tc>
          <w:tcPr>
            <w:tcW w:type="dxa" w:w="2266"/>
            <w:shd w:fill="F8F9FA" w:val="clear"/>
          </w:tcPr>
          <w:p>
            <w:pPr>
              <w:spacing w:before="40" w:after="40" w:line="288" w:lineRule="auto"/>
            </w:pPr>
            <w:r/>
            <w:r>
              <w:rPr>
                <w:rFonts w:ascii="Microsoft YaHei" w:hAnsi="Microsoft YaHei"/>
                <w:b/>
                <w:color w:val="1A1A1A"/>
                <w:sz w:val="18"/>
              </w:rPr>
              <w:t>+554.3万</w:t>
            </w:r>
          </w:p>
        </w:tc>
        <w:tc>
          <w:tcPr>
            <w:tcW w:type="dxa" w:w="2266"/>
            <w:shd w:fill="F8F9FA" w:val="clear"/>
          </w:tcPr>
          <w:p>
            <w:pPr>
              <w:spacing w:before="40" w:after="40" w:line="288" w:lineRule="auto"/>
            </w:pPr>
            <w:r/>
            <w:r>
              <w:rPr>
                <w:rFonts w:ascii="Microsoft YaHei" w:hAnsi="Microsoft YaHei"/>
                <w:sz w:val="18"/>
              </w:rPr>
              <w:t>1,119.5万</w:t>
            </w:r>
          </w:p>
        </w:tc>
        <w:tc>
          <w:tcPr>
            <w:tcW w:type="dxa" w:w="2266"/>
            <w:shd w:fill="F8F9FA" w:val="clear"/>
          </w:tcPr>
          <w:p>
            <w:pPr>
              <w:spacing w:before="40" w:after="40" w:line="288" w:lineRule="auto"/>
            </w:pPr>
            <w:r/>
            <w:r>
              <w:rPr>
                <w:rFonts w:ascii="Microsoft YaHei" w:hAnsi="Microsoft YaHei"/>
                <w:sz w:val="18"/>
              </w:rPr>
              <w:t>565.2万</w:t>
            </w:r>
          </w:p>
        </w:tc>
      </w:tr>
      <w:tr>
        <w:tc>
          <w:tcPr>
            <w:tcW w:type="dxa" w:w="2266"/>
          </w:tcPr>
          <w:p>
            <w:pPr>
              <w:spacing w:before="40" w:after="40" w:line="288" w:lineRule="auto"/>
            </w:pPr>
            <w:r/>
            <w:r>
              <w:rPr>
                <w:rFonts w:ascii="Microsoft YaHei" w:hAnsi="Microsoft YaHei"/>
                <w:sz w:val="18"/>
              </w:rPr>
              <w:t>小单</w:t>
            </w:r>
          </w:p>
        </w:tc>
        <w:tc>
          <w:tcPr>
            <w:tcW w:type="dxa" w:w="2266"/>
          </w:tcPr>
          <w:p>
            <w:pPr>
              <w:spacing w:before="40" w:after="40" w:line="288" w:lineRule="auto"/>
            </w:pPr>
            <w:r/>
            <w:r>
              <w:rPr>
                <w:rFonts w:ascii="Microsoft YaHei" w:hAnsi="Microsoft YaHei"/>
                <w:b/>
                <w:color w:val="1A1A1A"/>
                <w:sz w:val="18"/>
              </w:rPr>
              <w:t>+255.0万</w:t>
            </w:r>
          </w:p>
        </w:tc>
        <w:tc>
          <w:tcPr>
            <w:tcW w:type="dxa" w:w="2266"/>
          </w:tcPr>
          <w:p>
            <w:pPr>
              <w:spacing w:before="40" w:after="40" w:line="288" w:lineRule="auto"/>
            </w:pPr>
            <w:r/>
            <w:r>
              <w:rPr>
                <w:rFonts w:ascii="Microsoft YaHei" w:hAnsi="Microsoft YaHei"/>
                <w:sz w:val="18"/>
              </w:rPr>
              <w:t>381.9万</w:t>
            </w:r>
          </w:p>
        </w:tc>
        <w:tc>
          <w:tcPr>
            <w:tcW w:type="dxa" w:w="2266"/>
          </w:tcPr>
          <w:p>
            <w:pPr>
              <w:spacing w:before="40" w:after="40" w:line="288" w:lineRule="auto"/>
            </w:pPr>
            <w:r/>
            <w:r>
              <w:rPr>
                <w:rFonts w:ascii="Microsoft YaHei" w:hAnsi="Microsoft YaHei"/>
                <w:sz w:val="18"/>
              </w:rPr>
              <w:t>127.0万</w:t>
            </w:r>
          </w:p>
        </w:tc>
      </w:tr>
      <w:tr>
        <w:tc>
          <w:tcPr>
            <w:tcW w:type="dxa" w:w="2266"/>
            <w:shd w:fill="F8F9FA" w:val="clear"/>
          </w:tcPr>
          <w:p>
            <w:pPr>
              <w:spacing w:before="40" w:after="40" w:line="288" w:lineRule="auto"/>
            </w:pPr>
            <w:r/>
            <w:r>
              <w:rPr>
                <w:rFonts w:ascii="Microsoft YaHei" w:hAnsi="Microsoft YaHei"/>
                <w:b/>
                <w:color w:val="1A1A1A"/>
                <w:sz w:val="18"/>
              </w:rPr>
              <w:t>合计</w:t>
            </w:r>
          </w:p>
        </w:tc>
        <w:tc>
          <w:tcPr>
            <w:tcW w:type="dxa" w:w="2266"/>
            <w:shd w:fill="F8F9FA" w:val="clear"/>
          </w:tcPr>
          <w:p>
            <w:pPr>
              <w:spacing w:before="40" w:after="40" w:line="288" w:lineRule="auto"/>
            </w:pPr>
            <w:r/>
            <w:r>
              <w:rPr>
                <w:rFonts w:ascii="Microsoft YaHei" w:hAnsi="Microsoft YaHei"/>
                <w:b/>
                <w:color w:val="1A1A1A"/>
                <w:sz w:val="18"/>
              </w:rPr>
              <w:t>+1,042.3万</w:t>
            </w:r>
          </w:p>
        </w:tc>
        <w:tc>
          <w:tcPr>
            <w:tcW w:type="dxa" w:w="2266"/>
            <w:shd w:fill="F8F9FA" w:val="clear"/>
          </w:tcPr>
          <w:p>
            <w:pPr>
              <w:spacing w:before="40" w:after="40" w:line="288" w:lineRule="auto"/>
            </w:pPr>
            <w:r/>
            <w:r>
              <w:rPr>
                <w:rFonts w:ascii="Microsoft YaHei" w:hAnsi="Microsoft YaHei"/>
                <w:sz w:val="18"/>
              </w:rPr>
              <w:t>—</w:t>
            </w:r>
          </w:p>
        </w:tc>
        <w:tc>
          <w:tcPr>
            <w:tcW w:type="dxa" w:w="2266"/>
            <w:shd w:fill="F8F9FA" w:val="clear"/>
          </w:tcPr>
          <w:p>
            <w:pPr>
              <w:spacing w:before="40" w:after="40" w:line="288" w:lineRule="auto"/>
            </w:pPr>
            <w:r/>
            <w:r>
              <w:rPr>
                <w:rFonts w:ascii="Microsoft YaHei" w:hAnsi="Microsoft YaHei"/>
                <w:sz w:val="18"/>
              </w:rPr>
              <w:t>—</w:t>
            </w:r>
          </w:p>
        </w:tc>
      </w:tr>
    </w:tbl>
    <w:p/>
    <w:p>
      <w:r>
        <w:rPr>
          <w:rFonts w:ascii="Microsoft YaHei" w:hAnsi="Microsoft YaHei"/>
        </w:rPr>
        <w:t>昨日三大资金类型均呈净流入，</w:t>
      </w:r>
      <w:r>
        <w:rPr>
          <w:rFonts w:ascii="Microsoft YaHei" w:hAnsi="Microsoft YaHei"/>
          <w:b/>
          <w:color w:val="1A1A1A"/>
        </w:rPr>
        <w:t>大单净额+233万元</w:t>
      </w:r>
      <w:r>
        <w:rPr>
          <w:rFonts w:ascii="Microsoft YaHei" w:hAnsi="Microsoft YaHei"/>
        </w:rPr>
        <w:t>，机构资金参与度温和，中单资金净流入量最大，显示市场资金合力偏多。</w:t>
      </w:r>
    </w:p>
    <w:p>
      <w:pPr>
        <w:spacing w:before="280" w:after="80" w:line="312" w:lineRule="auto"/>
      </w:pPr>
      <w:r>
        <w:rPr>
          <w:rFonts w:ascii="Microsoft YaHei" w:hAnsi="Microsoft YaHei"/>
          <w:b/>
          <w:color w:val="333333"/>
          <w:sz w:val="24"/>
        </w:rPr>
        <w:t>融资融券</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变化</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b/>
                <w:color w:val="1A1A1A"/>
                <w:sz w:val="18"/>
              </w:rPr>
              <w:t>1.03亿元</w:t>
            </w:r>
          </w:p>
        </w:tc>
        <w:tc>
          <w:tcPr>
            <w:tcW w:type="dxa" w:w="3022"/>
          </w:tcPr>
          <w:p>
            <w:pPr>
              <w:spacing w:before="40" w:after="40" w:line="288" w:lineRule="auto"/>
            </w:pPr>
            <w:r/>
            <w:r>
              <w:rPr>
                <w:rFonts w:ascii="Microsoft YaHei" w:hAnsi="Microsoft YaHei"/>
                <w:sz w:val="18"/>
              </w:rPr>
              <w:t>+0.10%</w:t>
            </w:r>
          </w:p>
        </w:tc>
      </w:tr>
      <w:tr>
        <w:tc>
          <w:tcPr>
            <w:tcW w:type="dxa" w:w="3022"/>
            <w:shd w:fill="F8F9FA" w:val="clear"/>
          </w:tcPr>
          <w:p>
            <w:pPr>
              <w:spacing w:before="40" w:after="40" w:line="288" w:lineRule="auto"/>
            </w:pPr>
            <w:r/>
            <w:r>
              <w:rPr>
                <w:rFonts w:ascii="Microsoft YaHei" w:hAnsi="Microsoft YaHei"/>
                <w:sz w:val="18"/>
              </w:rPr>
              <w:t>融券余额</w:t>
            </w:r>
          </w:p>
        </w:tc>
        <w:tc>
          <w:tcPr>
            <w:tcW w:type="dxa" w:w="3022"/>
            <w:shd w:fill="F8F9FA" w:val="clear"/>
          </w:tcPr>
          <w:p>
            <w:pPr>
              <w:spacing w:before="40" w:after="40" w:line="288" w:lineRule="auto"/>
            </w:pPr>
            <w:r/>
            <w:r>
              <w:rPr>
                <w:rFonts w:ascii="Microsoft YaHei" w:hAnsi="Microsoft YaHei"/>
                <w:sz w:val="18"/>
              </w:rPr>
              <w:t>0.01亿元</w:t>
            </w:r>
          </w:p>
        </w:tc>
        <w:tc>
          <w:tcPr>
            <w:tcW w:type="dxa" w:w="3022"/>
            <w:shd w:fill="F8F9FA" w:val="clear"/>
          </w:tcPr>
          <w:p>
            <w:pPr>
              <w:spacing w:before="40" w:after="40" w:line="288" w:lineRule="auto"/>
            </w:pPr>
            <w:r/>
            <w:r>
              <w:rPr>
                <w:rFonts w:ascii="Microsoft YaHei" w:hAnsi="Microsoft YaHei"/>
                <w:sz w:val="18"/>
              </w:rPr>
              <w:t>+3.49%</w:t>
            </w:r>
          </w:p>
        </w:tc>
      </w:tr>
      <w:tr>
        <w:tc>
          <w:tcPr>
            <w:tcW w:type="dxa" w:w="3022"/>
          </w:tcPr>
          <w:p>
            <w:pPr>
              <w:spacing w:before="40" w:after="40" w:line="288" w:lineRule="auto"/>
            </w:pPr>
            <w:r/>
            <w:r>
              <w:rPr>
                <w:rFonts w:ascii="Microsoft YaHei" w:hAnsi="Microsoft YaHei"/>
                <w:sz w:val="18"/>
              </w:rPr>
              <w:t>融资余额占流通市值</w:t>
            </w:r>
          </w:p>
        </w:tc>
        <w:tc>
          <w:tcPr>
            <w:tcW w:type="dxa" w:w="3022"/>
          </w:tcPr>
          <w:p>
            <w:pPr>
              <w:spacing w:before="40" w:after="40" w:line="288" w:lineRule="auto"/>
            </w:pPr>
            <w:r/>
            <w:r>
              <w:rPr>
                <w:rFonts w:ascii="Microsoft YaHei" w:hAnsi="Microsoft YaHei"/>
                <w:b/>
                <w:color w:val="1A1A1A"/>
                <w:sz w:val="18"/>
              </w:rPr>
              <w:t>1.36%</w:t>
            </w:r>
          </w:p>
        </w:tc>
        <w:tc>
          <w:tcPr>
            <w:tcW w:type="dxa" w:w="3022"/>
          </w:tcPr>
          <w:p>
            <w:pPr>
              <w:spacing w:before="40" w:after="40" w:line="288" w:lineRule="auto"/>
            </w:pPr>
            <w:r/>
            <w:r>
              <w:rPr>
                <w:rFonts w:ascii="Microsoft YaHei" w:hAnsi="Microsoft YaHei"/>
                <w:sz w:val="18"/>
              </w:rPr>
              <w:t>低于近一年20%分位水平</w:t>
            </w:r>
          </w:p>
        </w:tc>
      </w:tr>
    </w:tbl>
    <w:p/>
    <w:p>
      <w:r>
        <w:rPr>
          <w:rFonts w:ascii="Microsoft YaHei" w:hAnsi="Microsoft YaHei"/>
        </w:rPr>
        <w:t>融资余额处于近一年</w:t>
      </w:r>
      <w:r>
        <w:rPr>
          <w:rFonts w:ascii="Microsoft YaHei" w:hAnsi="Microsoft YaHei"/>
          <w:b/>
          <w:color w:val="1A1A1A"/>
        </w:rPr>
        <w:t>低位水平</w:t>
      </w:r>
      <w:r>
        <w:rPr>
          <w:rFonts w:ascii="Microsoft YaHei" w:hAnsi="Microsoft YaHei"/>
        </w:rPr>
        <w:t>，说明当前杠杆资金参与度不高，后续存在加杠杆空间。</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技术指标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MA5（13.22）</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+3.1%</w:t>
            </w:r>
          </w:p>
        </w:tc>
      </w:tr>
      <w:tr>
        <w:tc>
          <w:tcPr>
            <w:tcW w:type="dxa" w:w="3022"/>
            <w:shd w:fill="F8F9FA" w:val="clear"/>
          </w:tcPr>
          <w:p>
            <w:pPr>
              <w:spacing w:before="40" w:after="40" w:line="288" w:lineRule="auto"/>
            </w:pPr>
            <w:r/>
            <w:r>
              <w:rPr>
                <w:rFonts w:ascii="Microsoft YaHei" w:hAnsi="Microsoft YaHei"/>
                <w:sz w:val="18"/>
              </w:rPr>
              <w:t>MA10（13.34）</w:t>
            </w:r>
          </w:p>
        </w:tc>
        <w:tc>
          <w:tcPr>
            <w:tcW w:type="dxa" w:w="3022"/>
            <w:shd w:fill="F8F9FA" w:val="clear"/>
          </w:tcPr>
          <w:p>
            <w:pPr>
              <w:spacing w:before="40" w:after="40" w:line="288" w:lineRule="auto"/>
            </w:pPr>
            <w:r/>
            <w:r>
              <w:rPr>
                <w:rFonts w:ascii="Microsoft YaHei" w:hAnsi="Microsoft YaHei"/>
                <w:sz w:val="18"/>
              </w:rPr>
              <w:t>上方</w:t>
            </w:r>
          </w:p>
        </w:tc>
        <w:tc>
          <w:tcPr>
            <w:tcW w:type="dxa" w:w="3022"/>
            <w:shd w:fill="F8F9FA" w:val="clear"/>
          </w:tcPr>
          <w:p>
            <w:pPr>
              <w:spacing w:before="40" w:after="40" w:line="288" w:lineRule="auto"/>
            </w:pPr>
            <w:r/>
            <w:r>
              <w:rPr>
                <w:rFonts w:ascii="Microsoft YaHei" w:hAnsi="Microsoft YaHei"/>
                <w:b/>
                <w:color w:val="1A1A1A"/>
                <w:sz w:val="18"/>
              </w:rPr>
              <w:t>+2.2%</w:t>
            </w:r>
          </w:p>
        </w:tc>
      </w:tr>
      <w:tr>
        <w:tc>
          <w:tcPr>
            <w:tcW w:type="dxa" w:w="3022"/>
          </w:tcPr>
          <w:p>
            <w:pPr>
              <w:spacing w:before="40" w:after="40" w:line="288" w:lineRule="auto"/>
            </w:pPr>
            <w:r/>
            <w:r>
              <w:rPr>
                <w:rFonts w:ascii="Microsoft YaHei" w:hAnsi="Microsoft YaHei"/>
                <w:sz w:val="18"/>
              </w:rPr>
              <w:t>MA20/布林中轨（13.23）</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+3.0%</w:t>
            </w:r>
          </w:p>
        </w:tc>
      </w:tr>
      <w:tr>
        <w:tc>
          <w:tcPr>
            <w:tcW w:type="dxa" w:w="3022"/>
            <w:shd w:fill="F8F9FA" w:val="clear"/>
          </w:tcPr>
          <w:p>
            <w:pPr>
              <w:spacing w:before="40" w:after="40" w:line="288" w:lineRule="auto"/>
            </w:pPr>
            <w:r/>
            <w:r>
              <w:rPr>
                <w:rFonts w:ascii="Microsoft YaHei" w:hAnsi="Microsoft YaHei"/>
                <w:sz w:val="18"/>
              </w:rPr>
              <w:t>布林带上轨（13.89）</w:t>
            </w:r>
          </w:p>
        </w:tc>
        <w:tc>
          <w:tcPr>
            <w:tcW w:type="dxa" w:w="3022"/>
            <w:shd w:fill="F8F9FA" w:val="clear"/>
          </w:tcPr>
          <w:p>
            <w:pPr>
              <w:spacing w:before="40" w:after="40" w:line="288" w:lineRule="auto"/>
            </w:pPr>
            <w:r/>
            <w:r>
              <w:rPr>
                <w:rFonts w:ascii="Microsoft YaHei" w:hAnsi="Microsoft YaHei"/>
                <w:sz w:val="18"/>
              </w:rPr>
              <w:t>下方</w:t>
            </w:r>
          </w:p>
        </w:tc>
        <w:tc>
          <w:tcPr>
            <w:tcW w:type="dxa" w:w="3022"/>
            <w:shd w:fill="F8F9FA" w:val="clear"/>
          </w:tcPr>
          <w:p>
            <w:pPr>
              <w:spacing w:before="40" w:after="40" w:line="288" w:lineRule="auto"/>
            </w:pPr>
            <w:r/>
            <w:r>
              <w:rPr>
                <w:rFonts w:ascii="Microsoft YaHei" w:hAnsi="Microsoft YaHei"/>
                <w:sz w:val="18"/>
              </w:rPr>
              <w:t>距离约1.9%</w:t>
            </w:r>
          </w:p>
        </w:tc>
      </w:tr>
      <w:tr>
        <w:tc>
          <w:tcPr>
            <w:tcW w:type="dxa" w:w="3022"/>
          </w:tcPr>
          <w:p>
            <w:pPr>
              <w:spacing w:before="40" w:after="40" w:line="288" w:lineRule="auto"/>
            </w:pPr>
            <w:r/>
            <w:r>
              <w:rPr>
                <w:rFonts w:ascii="Microsoft YaHei" w:hAnsi="Microsoft YaHei"/>
                <w:sz w:val="18"/>
              </w:rPr>
              <w:t>布林带下轨（12.57）</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sz w:val="18"/>
              </w:rPr>
              <w:t>距离约8.4%</w:t>
            </w:r>
          </w:p>
        </w:tc>
      </w:tr>
    </w:tbl>
    <w:p/>
    <w:p>
      <w:r>
        <w:rPr>
          <w:rFonts w:ascii="Microsoft YaHei" w:hAnsi="Microsoft YaHei"/>
          <w:b/>
          <w:color w:val="1A1A1A"/>
        </w:rPr>
        <w:t>技术研判：</w:t>
      </w:r>
    </w:p>
    <w:p>
      <w:pPr>
        <w:pStyle w:val="ListBullet"/>
      </w:pPr>
      <w:r>
        <w:rPr>
          <w:rFonts w:ascii="Microsoft YaHei" w:hAnsi="Microsoft YaHei"/>
        </w:rPr>
        <w:t xml:space="preserve">当前股价 </w:t>
      </w:r>
      <w:r>
        <w:rPr>
          <w:rFonts w:ascii="Microsoft YaHei" w:hAnsi="Microsoft YaHei"/>
          <w:b/>
          <w:color w:val="1A1A1A"/>
        </w:rPr>
        <w:t>13.63元</w:t>
      </w:r>
      <w:r>
        <w:rPr>
          <w:rFonts w:ascii="Microsoft YaHei" w:hAnsi="Microsoft YaHei"/>
        </w:rPr>
        <w:t>，站稳于MA5（13.22）、MA10（13.34）及MA20/布林中轨（13.23）</w:t>
      </w:r>
      <w:r>
        <w:rPr>
          <w:rFonts w:ascii="Microsoft YaHei" w:hAnsi="Microsoft YaHei"/>
          <w:b/>
          <w:color w:val="1A1A1A"/>
        </w:rPr>
        <w:t>三条均线上方</w:t>
      </w:r>
      <w:r>
        <w:rPr>
          <w:rFonts w:ascii="Microsoft YaHei" w:hAnsi="Microsoft YaHei"/>
        </w:rPr>
        <w:t>，呈多头排列雏形。</w:t>
      </w:r>
    </w:p>
    <w:p>
      <w:pPr>
        <w:pStyle w:val="ListBullet"/>
      </w:pPr>
      <w:r>
        <w:rPr>
          <w:rFonts w:ascii="Microsoft YaHei" w:hAnsi="Microsoft YaHei"/>
        </w:rPr>
        <w:t>股价位于布林带</w:t>
      </w:r>
      <w:r>
        <w:rPr>
          <w:rFonts w:ascii="Microsoft YaHei" w:hAnsi="Microsoft YaHei"/>
          <w:b/>
          <w:color w:val="1A1A1A"/>
        </w:rPr>
        <w:t>中轨与上轨之间</w:t>
      </w:r>
      <w:r>
        <w:rPr>
          <w:rFonts w:ascii="Microsoft YaHei" w:hAnsi="Microsoft YaHei"/>
        </w:rPr>
        <w:t>，属于偏强运行区间。上轨13.89元构成短期压力位，距当前价约</w:t>
      </w:r>
      <w:r>
        <w:rPr>
          <w:rFonts w:ascii="Microsoft YaHei" w:hAnsi="Microsoft YaHei"/>
          <w:b/>
          <w:color w:val="1A1A1A"/>
        </w:rPr>
        <w:t>1.9%</w:t>
      </w:r>
      <w:r>
        <w:rPr>
          <w:rFonts w:ascii="Microsoft YaHei" w:hAnsi="Microsoft YaHei"/>
        </w:rPr>
        <w:t>。</w:t>
      </w:r>
    </w:p>
    <w:p>
      <w:pPr>
        <w:pStyle w:val="ListBullet"/>
      </w:pPr>
      <w:r>
        <w:rPr>
          <w:rFonts w:ascii="Microsoft YaHei" w:hAnsi="Microsoft YaHei"/>
        </w:rPr>
        <w:t>近期K线在12.57-13.89的布林通道中沿中轨向上运行，趋势偏向积极。若午后继续放量，有望向上轨13.89元发起试探。</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核心事件：聘任财务总监</w:t>
      </w:r>
    </w:p>
    <w:p>
      <w:r>
        <w:rPr>
          <w:rFonts w:ascii="Microsoft YaHei" w:hAnsi="Microsoft YaHei"/>
        </w:rPr>
        <w:t>广州酒家于7月29日发布公告，</w:t>
      </w:r>
      <w:r>
        <w:rPr>
          <w:rFonts w:ascii="Microsoft YaHei" w:hAnsi="Microsoft YaHei"/>
          <w:b/>
          <w:color w:val="1A1A1A"/>
        </w:rPr>
        <w:t>聘任陈苑为财务总监</w:t>
      </w:r>
      <w:r>
        <w:rPr>
          <w:rFonts w:ascii="Microsoft YaHei" w:hAnsi="Microsoft YaHei"/>
        </w:rPr>
        <w:t xml:space="preserve">。陈苑为80后，拥有工商管理硕士学位，并持有公司 </w:t>
      </w:r>
      <w:r>
        <w:rPr>
          <w:rFonts w:ascii="Microsoft YaHei" w:hAnsi="Microsoft YaHei"/>
          <w:b/>
          <w:color w:val="1A1A1A"/>
        </w:rPr>
        <w:t>3.3万股有限售股份</w:t>
      </w:r>
      <w:r>
        <w:rPr>
          <w:rFonts w:ascii="Microsoft YaHei" w:hAnsi="Microsoft YaHei"/>
        </w:rPr>
        <w:t>。</w:t>
      </w:r>
    </w:p>
    <w:p>
      <w:pPr>
        <w:pStyle w:val="ListBullet"/>
      </w:pPr>
      <w:r>
        <w:rPr>
          <w:rFonts w:ascii="Microsoft YaHei" w:hAnsi="Microsoft YaHei"/>
          <w:b/>
          <w:color w:val="1A1A1A"/>
        </w:rPr>
        <w:t>影响评估</w:t>
      </w:r>
      <w:r>
        <w:rPr>
          <w:rFonts w:ascii="Microsoft YaHei" w:hAnsi="Microsoft YaHei"/>
        </w:rPr>
        <w:t>：财务总监更迭属于正常公司治理行为。新任财务总监持有公司股份，体现管理层利益与股东利益的一致性，属</w:t>
      </w:r>
      <w:r>
        <w:rPr>
          <w:rFonts w:ascii="Microsoft YaHei" w:hAnsi="Microsoft YaHei"/>
          <w:b/>
          <w:color w:val="1A1A1A"/>
        </w:rPr>
        <w:t>中性偏正面</w:t>
      </w:r>
      <w:r>
        <w:rPr>
          <w:rFonts w:ascii="Microsoft YaHei" w:hAnsi="Microsoft YaHei"/>
        </w:rPr>
        <w:t>信号。当前正值中秋备货季前，管理层稳定对经营连续性是积极因素。</w:t>
      </w:r>
    </w:p>
    <w:p>
      <w:pPr>
        <w:spacing w:before="280" w:after="80" w:line="312" w:lineRule="auto"/>
      </w:pPr>
      <w:r>
        <w:rPr>
          <w:rFonts w:ascii="Microsoft YaHei" w:hAnsi="Microsoft YaHei"/>
          <w:b/>
          <w:color w:val="333333"/>
          <w:sz w:val="24"/>
        </w:rPr>
        <w:t>互动问答要点</w:t>
      </w:r>
    </w:p>
    <w:p>
      <w:pPr>
        <w:pStyle w:val="ListBullet"/>
      </w:pPr>
      <w:r>
        <w:rPr>
          <w:rFonts w:ascii="Microsoft YaHei" w:hAnsi="Microsoft YaHei"/>
          <w:b/>
          <w:color w:val="1A1A1A"/>
        </w:rPr>
        <w:t>出口业务</w:t>
      </w:r>
      <w:r>
        <w:rPr>
          <w:rFonts w:ascii="Microsoft YaHei" w:hAnsi="Microsoft YaHei"/>
        </w:rPr>
        <w:t>：公司表示出口产品严格遵循目标市场所在国的食品法律法规及进口要求进行包装和标签标注，合规经营意识明确。</w:t>
      </w:r>
    </w:p>
    <w:p>
      <w:pPr>
        <w:pStyle w:val="ListBullet"/>
      </w:pPr>
      <w:r>
        <w:rPr>
          <w:rFonts w:ascii="Microsoft YaHei" w:hAnsi="Microsoft YaHei"/>
          <w:b/>
          <w:color w:val="1A1A1A"/>
        </w:rPr>
        <w:t>月饼标准</w:t>
      </w:r>
      <w:r>
        <w:rPr>
          <w:rFonts w:ascii="Microsoft YaHei" w:hAnsi="Microsoft YaHei"/>
        </w:rPr>
        <w:t>：国内销售的月饼执行国家标准 GB 7099《食品安全国家标准 糕点、面包》，产品质量有保障。</w:t>
      </w:r>
    </w:p>
    <w:p>
      <w:pPr>
        <w:spacing w:before="280" w:after="80" w:line="312" w:lineRule="auto"/>
      </w:pPr>
      <w:r>
        <w:rPr>
          <w:rFonts w:ascii="Microsoft YaHei" w:hAnsi="Microsoft YaHei"/>
          <w:b/>
          <w:color w:val="333333"/>
          <w:sz w:val="24"/>
        </w:rPr>
        <w:t>融资数据</w:t>
      </w:r>
    </w:p>
    <w:p>
      <w:r>
        <w:rPr>
          <w:rFonts w:ascii="Microsoft YaHei" w:hAnsi="Microsoft YaHei"/>
        </w:rPr>
        <w:t xml:space="preserve">昨日（7月28日）融资买入 </w:t>
      </w:r>
      <w:r>
        <w:rPr>
          <w:rFonts w:ascii="Microsoft YaHei" w:hAnsi="Microsoft YaHei"/>
          <w:b/>
          <w:color w:val="1A1A1A"/>
        </w:rPr>
        <w:t>368.97万元</w:t>
      </w:r>
      <w:r>
        <w:rPr>
          <w:rFonts w:ascii="Microsoft YaHei" w:hAnsi="Microsoft YaHei"/>
        </w:rPr>
        <w:t>，融资余额1.03亿元，占流通市值比例1.36%，</w:t>
      </w:r>
      <w:r>
        <w:rPr>
          <w:rFonts w:ascii="Microsoft YaHei" w:hAnsi="Microsoft YaHei"/>
          <w:b/>
          <w:color w:val="1A1A1A"/>
        </w:rPr>
        <w:t>低于近一年20%分位水平</w:t>
      </w:r>
      <w:r>
        <w:rPr>
          <w:rFonts w:ascii="Microsoft YaHei" w:hAnsi="Microsoft YaHei"/>
        </w:rPr>
        <w:t>，表明融资盘处于历史低位，筹码相对干净，抛压较轻。</w:t>
      </w:r>
    </w:p>
    <w:p>
      <w:pPr>
        <w:spacing w:before="280" w:after="80" w:line="312" w:lineRule="auto"/>
      </w:pPr>
      <w:r>
        <w:rPr>
          <w:rFonts w:ascii="Microsoft YaHei" w:hAnsi="Microsoft YaHei"/>
          <w:b/>
          <w:color w:val="333333"/>
          <w:sz w:val="24"/>
        </w:rPr>
        <w:t>板块联动背景</w:t>
      </w:r>
    </w:p>
    <w:p>
      <w:r>
        <w:rPr>
          <w:rFonts w:ascii="Microsoft YaHei" w:hAnsi="Microsoft YaHei"/>
        </w:rPr>
        <w:t xml:space="preserve">今日食品饮料板块大涨 </w:t>
      </w:r>
      <w:r>
        <w:rPr>
          <w:rFonts w:ascii="Microsoft YaHei" w:hAnsi="Microsoft YaHei"/>
          <w:b/>
          <w:color w:val="1A1A1A"/>
        </w:rPr>
        <w:t>+2.57%</w:t>
      </w:r>
      <w:r>
        <w:rPr>
          <w:rFonts w:ascii="Microsoft YaHei" w:hAnsi="Microsoft YaHei"/>
        </w:rPr>
        <w:t>，驱动逻辑为中信建投研报指出的原奶周期向好（6月奶牛存栏量577.2万头、环比下降2.2万头，维持较快去化），利好乳制品及食品板块。广州酒家旗下拥有</w:t>
      </w:r>
      <w:r>
        <w:rPr>
          <w:rFonts w:ascii="Microsoft YaHei" w:hAnsi="Microsoft YaHei"/>
          <w:b/>
          <w:color w:val="1A1A1A"/>
        </w:rPr>
        <w:t>月饼、糕点、预制菜、速冻食品</w:t>
      </w:r>
      <w:r>
        <w:rPr>
          <w:rFonts w:ascii="Microsoft YaHei" w:hAnsi="Microsoft YaHei"/>
        </w:rPr>
        <w:t>等产品线，受益于消费复苏预期下的板块情绪共振。</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板块名称</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板块排名</w:t>
            </w:r>
          </w:p>
        </w:tc>
        <w:tc>
          <w:tcPr>
            <w:tcW w:type="dxa" w:w="2266"/>
            <w:shd w:fill="F6F8FA" w:val="clear"/>
          </w:tcPr>
          <w:p>
            <w:pPr>
              <w:spacing w:before="40" w:after="40" w:line="288" w:lineRule="auto"/>
            </w:pPr>
            <w:r/>
            <w:r>
              <w:rPr>
                <w:rFonts w:ascii="Microsoft YaHei" w:hAnsi="Microsoft YaHei"/>
                <w:b/>
                <w:color w:val="1A1A1A"/>
                <w:sz w:val="18"/>
              </w:rPr>
              <w:t>该股板块内排名</w:t>
            </w:r>
          </w:p>
        </w:tc>
      </w:tr>
      <w:tr>
        <w:tc>
          <w:tcPr>
            <w:tcW w:type="dxa" w:w="2266"/>
          </w:tcPr>
          <w:p>
            <w:pPr>
              <w:spacing w:before="40" w:after="40" w:line="288" w:lineRule="auto"/>
            </w:pPr>
            <w:r/>
            <w:r>
              <w:rPr>
                <w:rFonts w:ascii="Microsoft YaHei" w:hAnsi="Microsoft YaHei"/>
                <w:sz w:val="18"/>
              </w:rPr>
              <w:t>食品饮料与烟草(A股)</w:t>
            </w:r>
          </w:p>
        </w:tc>
        <w:tc>
          <w:tcPr>
            <w:tcW w:type="dxa" w:w="2266"/>
          </w:tcPr>
          <w:p>
            <w:pPr>
              <w:spacing w:before="40" w:after="40" w:line="288" w:lineRule="auto"/>
            </w:pPr>
            <w:r/>
            <w:r>
              <w:rPr>
                <w:rFonts w:ascii="Microsoft YaHei" w:hAnsi="Microsoft YaHei"/>
                <w:b/>
                <w:color w:val="1A1A1A"/>
                <w:sz w:val="18"/>
              </w:rPr>
              <w:t>-0.53%</w:t>
            </w:r>
          </w:p>
        </w:tc>
        <w:tc>
          <w:tcPr>
            <w:tcW w:type="dxa" w:w="2266"/>
          </w:tcPr>
          <w:p>
            <w:pPr>
              <w:spacing w:before="40" w:after="40" w:line="288" w:lineRule="auto"/>
            </w:pPr>
            <w:r/>
            <w:r>
              <w:rPr>
                <w:rFonts w:ascii="Microsoft YaHei" w:hAnsi="Microsoft YaHei"/>
                <w:sz w:val="18"/>
              </w:rPr>
              <w:t>318/1158</w:t>
            </w:r>
          </w:p>
        </w:tc>
        <w:tc>
          <w:tcPr>
            <w:tcW w:type="dxa" w:w="2266"/>
          </w:tcPr>
          <w:p>
            <w:pPr>
              <w:spacing w:before="40" w:after="40" w:line="288" w:lineRule="auto"/>
            </w:pPr>
            <w:r/>
            <w:r>
              <w:rPr>
                <w:rFonts w:ascii="Microsoft YaHei" w:hAnsi="Microsoft YaHei"/>
                <w:sz w:val="18"/>
              </w:rPr>
              <w:t>58/210</w:t>
            </w:r>
          </w:p>
        </w:tc>
      </w:tr>
      <w:tr>
        <w:tc>
          <w:tcPr>
            <w:tcW w:type="dxa" w:w="2266"/>
            <w:shd w:fill="F8F9FA" w:val="clear"/>
          </w:tcPr>
          <w:p>
            <w:pPr>
              <w:spacing w:before="40" w:after="40" w:line="288" w:lineRule="auto"/>
            </w:pPr>
            <w:r/>
            <w:r>
              <w:rPr>
                <w:rFonts w:ascii="Microsoft YaHei" w:hAnsi="Microsoft YaHei"/>
                <w:sz w:val="18"/>
              </w:rPr>
              <w:t>食品(A股)</w:t>
            </w:r>
          </w:p>
        </w:tc>
        <w:tc>
          <w:tcPr>
            <w:tcW w:type="dxa" w:w="2266"/>
            <w:shd w:fill="F8F9FA" w:val="clear"/>
          </w:tcPr>
          <w:p>
            <w:pPr>
              <w:spacing w:before="40" w:after="40" w:line="288" w:lineRule="auto"/>
            </w:pPr>
            <w:r/>
            <w:r>
              <w:rPr>
                <w:rFonts w:ascii="Microsoft YaHei" w:hAnsi="Microsoft YaHei"/>
                <w:sz w:val="18"/>
              </w:rPr>
              <w:t>-1.04%</w:t>
            </w:r>
          </w:p>
        </w:tc>
        <w:tc>
          <w:tcPr>
            <w:tcW w:type="dxa" w:w="2266"/>
            <w:shd w:fill="F8F9FA" w:val="clear"/>
          </w:tcPr>
          <w:p>
            <w:pPr>
              <w:spacing w:before="40" w:after="40" w:line="288" w:lineRule="auto"/>
            </w:pPr>
            <w:r/>
            <w:r>
              <w:rPr>
                <w:rFonts w:ascii="Microsoft YaHei" w:hAnsi="Microsoft YaHei"/>
                <w:sz w:val="18"/>
              </w:rPr>
              <w:t>429/1158</w:t>
            </w:r>
          </w:p>
        </w:tc>
        <w:tc>
          <w:tcPr>
            <w:tcW w:type="dxa" w:w="2266"/>
            <w:shd w:fill="F8F9FA" w:val="clear"/>
          </w:tcPr>
          <w:p>
            <w:pPr>
              <w:spacing w:before="40" w:after="40" w:line="288" w:lineRule="auto"/>
            </w:pPr>
            <w:r/>
            <w:r>
              <w:rPr>
                <w:rFonts w:ascii="Microsoft YaHei" w:hAnsi="Microsoft YaHei"/>
                <w:sz w:val="18"/>
              </w:rPr>
              <w:t>35/160</w:t>
            </w:r>
          </w:p>
        </w:tc>
      </w:tr>
      <w:tr>
        <w:tc>
          <w:tcPr>
            <w:tcW w:type="dxa" w:w="2266"/>
          </w:tcPr>
          <w:p>
            <w:pPr>
              <w:spacing w:before="40" w:after="40" w:line="288" w:lineRule="auto"/>
            </w:pPr>
            <w:r/>
            <w:r>
              <w:rPr>
                <w:rFonts w:ascii="Microsoft YaHei" w:hAnsi="Microsoft YaHei"/>
                <w:sz w:val="18"/>
              </w:rPr>
              <w:t>包装食品与肉类(A股)</w:t>
            </w:r>
          </w:p>
        </w:tc>
        <w:tc>
          <w:tcPr>
            <w:tcW w:type="dxa" w:w="2266"/>
          </w:tcPr>
          <w:p>
            <w:pPr>
              <w:spacing w:before="40" w:after="40" w:line="288" w:lineRule="auto"/>
            </w:pPr>
            <w:r/>
            <w:r>
              <w:rPr>
                <w:rFonts w:ascii="Microsoft YaHei" w:hAnsi="Microsoft YaHei"/>
                <w:sz w:val="18"/>
              </w:rPr>
              <w:t>-1.28%</w:t>
            </w:r>
          </w:p>
        </w:tc>
        <w:tc>
          <w:tcPr>
            <w:tcW w:type="dxa" w:w="2266"/>
          </w:tcPr>
          <w:p>
            <w:pPr>
              <w:spacing w:before="40" w:after="40" w:line="288" w:lineRule="auto"/>
            </w:pPr>
            <w:r/>
            <w:r>
              <w:rPr>
                <w:rFonts w:ascii="Microsoft YaHei" w:hAnsi="Microsoft YaHei"/>
                <w:sz w:val="18"/>
              </w:rPr>
              <w:t>480/1158</w:t>
            </w:r>
          </w:p>
        </w:tc>
        <w:tc>
          <w:tcPr>
            <w:tcW w:type="dxa" w:w="2266"/>
          </w:tcPr>
          <w:p>
            <w:pPr>
              <w:spacing w:before="40" w:after="40" w:line="288" w:lineRule="auto"/>
            </w:pPr>
            <w:r/>
            <w:r>
              <w:rPr>
                <w:rFonts w:ascii="Microsoft YaHei" w:hAnsi="Microsoft YaHei"/>
                <w:b/>
                <w:color w:val="1A1A1A"/>
                <w:sz w:val="18"/>
              </w:rPr>
              <w:t>22/95</w:t>
            </w:r>
          </w:p>
        </w:tc>
      </w:tr>
      <w:tr>
        <w:tc>
          <w:tcPr>
            <w:tcW w:type="dxa" w:w="2266"/>
            <w:shd w:fill="F8F9FA" w:val="clear"/>
          </w:tcPr>
          <w:p>
            <w:pPr>
              <w:spacing w:before="40" w:after="40" w:line="288" w:lineRule="auto"/>
            </w:pPr>
            <w:r/>
            <w:r>
              <w:rPr>
                <w:rFonts w:ascii="Microsoft YaHei" w:hAnsi="Microsoft YaHei"/>
                <w:sz w:val="18"/>
              </w:rPr>
              <w:t>日常消费品(A股)</w:t>
            </w:r>
          </w:p>
        </w:tc>
        <w:tc>
          <w:tcPr>
            <w:tcW w:type="dxa" w:w="2266"/>
            <w:shd w:fill="F8F9FA" w:val="clear"/>
          </w:tcPr>
          <w:p>
            <w:pPr>
              <w:spacing w:before="40" w:after="40" w:line="288" w:lineRule="auto"/>
            </w:pPr>
            <w:r/>
            <w:r>
              <w:rPr>
                <w:rFonts w:ascii="Microsoft YaHei" w:hAnsi="Microsoft YaHei"/>
                <w:sz w:val="18"/>
              </w:rPr>
              <w:t>-0.70%</w:t>
            </w:r>
          </w:p>
        </w:tc>
        <w:tc>
          <w:tcPr>
            <w:tcW w:type="dxa" w:w="2266"/>
            <w:shd w:fill="F8F9FA" w:val="clear"/>
          </w:tcPr>
          <w:p>
            <w:pPr>
              <w:spacing w:before="40" w:after="40" w:line="288" w:lineRule="auto"/>
            </w:pPr>
            <w:r/>
            <w:r>
              <w:rPr>
                <w:rFonts w:ascii="Microsoft YaHei" w:hAnsi="Microsoft YaHei"/>
                <w:sz w:val="18"/>
              </w:rPr>
              <w:t>351/1158</w:t>
            </w:r>
          </w:p>
        </w:tc>
        <w:tc>
          <w:tcPr>
            <w:tcW w:type="dxa" w:w="2266"/>
            <w:shd w:fill="F8F9FA" w:val="clear"/>
          </w:tcPr>
          <w:p>
            <w:pPr>
              <w:spacing w:before="40" w:after="40" w:line="288" w:lineRule="auto"/>
            </w:pPr>
            <w:r/>
            <w:r>
              <w:rPr>
                <w:rFonts w:ascii="Microsoft YaHei" w:hAnsi="Microsoft YaHei"/>
                <w:sz w:val="18"/>
              </w:rPr>
              <w:t>76/290</w:t>
            </w:r>
          </w:p>
        </w:tc>
      </w:tr>
      <w:tr>
        <w:tc>
          <w:tcPr>
            <w:tcW w:type="dxa" w:w="2266"/>
          </w:tcPr>
          <w:p>
            <w:pPr>
              <w:spacing w:before="40" w:after="40" w:line="288" w:lineRule="auto"/>
            </w:pPr>
            <w:r/>
            <w:r>
              <w:rPr>
                <w:rFonts w:ascii="Microsoft YaHei" w:hAnsi="Microsoft YaHei"/>
                <w:sz w:val="18"/>
              </w:rPr>
              <w:t>沪股通</w:t>
            </w:r>
          </w:p>
        </w:tc>
        <w:tc>
          <w:tcPr>
            <w:tcW w:type="dxa" w:w="2266"/>
          </w:tcPr>
          <w:p>
            <w:pPr>
              <w:spacing w:before="40" w:after="40" w:line="288" w:lineRule="auto"/>
            </w:pPr>
            <w:r/>
            <w:r>
              <w:rPr>
                <w:rFonts w:ascii="Microsoft YaHei" w:hAnsi="Microsoft YaHei"/>
                <w:sz w:val="18"/>
              </w:rPr>
              <w:t>-1.08%</w:t>
            </w:r>
          </w:p>
        </w:tc>
        <w:tc>
          <w:tcPr>
            <w:tcW w:type="dxa" w:w="2266"/>
          </w:tcPr>
          <w:p>
            <w:pPr>
              <w:spacing w:before="40" w:after="40" w:line="288" w:lineRule="auto"/>
            </w:pPr>
            <w:r/>
            <w:r>
              <w:rPr>
                <w:rFonts w:ascii="Microsoft YaHei" w:hAnsi="Microsoft YaHei"/>
                <w:sz w:val="18"/>
              </w:rPr>
              <w:t>438/1158</w:t>
            </w:r>
          </w:p>
        </w:tc>
        <w:tc>
          <w:tcPr>
            <w:tcW w:type="dxa" w:w="2266"/>
          </w:tcPr>
          <w:p>
            <w:pPr>
              <w:spacing w:before="40" w:after="40" w:line="288" w:lineRule="auto"/>
            </w:pPr>
            <w:r/>
            <w:r>
              <w:rPr>
                <w:rFonts w:ascii="Microsoft YaHei" w:hAnsi="Microsoft YaHei"/>
                <w:sz w:val="18"/>
              </w:rPr>
              <w:t>587/1644</w:t>
            </w:r>
          </w:p>
        </w:tc>
      </w:tr>
    </w:tbl>
    <w:p/>
    <w:p>
      <w:r>
        <w:rPr>
          <w:rFonts w:ascii="Microsoft YaHei" w:hAnsi="Microsoft YaHei"/>
        </w:rPr>
        <w:t>尽管所属食品行业板块整体微跌，但广州酒家</w:t>
      </w:r>
      <w:r>
        <w:rPr>
          <w:rFonts w:ascii="Microsoft YaHei" w:hAnsi="Microsoft YaHei"/>
          <w:b/>
          <w:color w:val="1A1A1A"/>
        </w:rPr>
        <w:t>逆市收涨+1.34%</w:t>
      </w:r>
      <w:r>
        <w:rPr>
          <w:rFonts w:ascii="Microsoft YaHei" w:hAnsi="Microsoft YaHei"/>
        </w:rPr>
        <w:t>，板块内排名靠前（包装食品与肉类板块内排名22/95），体现了个股独立性溢价。结合今日泛消费板块整体回暖（食品饮料+2.57%），午后有望延续板块共振效应。</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判断</w:t>
            </w:r>
          </w:p>
        </w:tc>
      </w:tr>
      <w:tr>
        <w:tc>
          <w:tcPr>
            <w:tcW w:type="dxa" w:w="4533"/>
          </w:tcPr>
          <w:p>
            <w:pPr>
              <w:spacing w:before="40" w:after="40" w:line="288" w:lineRule="auto"/>
            </w:pPr>
            <w:r/>
            <w:r>
              <w:rPr>
                <w:rFonts w:ascii="Microsoft YaHei" w:hAnsi="Microsoft YaHei"/>
                <w:sz w:val="18"/>
              </w:rPr>
              <w:t>市场情绪</w:t>
            </w:r>
          </w:p>
        </w:tc>
        <w:tc>
          <w:tcPr>
            <w:tcW w:type="dxa" w:w="4533"/>
          </w:tcPr>
          <w:p>
            <w:pPr>
              <w:spacing w:before="40" w:after="40" w:line="288" w:lineRule="auto"/>
            </w:pPr>
            <w:r/>
            <w:r>
              <w:rPr>
                <w:rFonts w:ascii="Microsoft YaHei" w:hAnsi="Microsoft YaHei"/>
                <w:sz w:val="18"/>
              </w:rPr>
              <w:t>✅ 大盘探底回升，泛消费领涨，情绪回暖</w:t>
            </w:r>
          </w:p>
        </w:tc>
      </w:tr>
      <w:tr>
        <w:tc>
          <w:tcPr>
            <w:tcW w:type="dxa" w:w="4533"/>
            <w:shd w:fill="F8F9FA" w:val="clear"/>
          </w:tcPr>
          <w:p>
            <w:pPr>
              <w:spacing w:before="40" w:after="40" w:line="288" w:lineRule="auto"/>
            </w:pPr>
            <w:r/>
            <w:r>
              <w:rPr>
                <w:rFonts w:ascii="Microsoft YaHei" w:hAnsi="Microsoft YaHei"/>
                <w:sz w:val="18"/>
              </w:rPr>
              <w:t>个股走势</w:t>
            </w:r>
          </w:p>
        </w:tc>
        <w:tc>
          <w:tcPr>
            <w:tcW w:type="dxa" w:w="4533"/>
            <w:shd w:fill="F8F9FA" w:val="clear"/>
          </w:tcPr>
          <w:p>
            <w:pPr>
              <w:spacing w:before="40" w:after="40" w:line="288" w:lineRule="auto"/>
            </w:pPr>
            <w:r/>
            <w:r>
              <w:rPr>
                <w:rFonts w:ascii="Microsoft YaHei" w:hAnsi="Microsoft YaHei"/>
                <w:sz w:val="18"/>
              </w:rPr>
              <w:t>✅ 放量上涨，跑赢板块，强势特征明显</w:t>
            </w:r>
          </w:p>
        </w:tc>
      </w:tr>
      <w:tr>
        <w:tc>
          <w:tcPr>
            <w:tcW w:type="dxa" w:w="4533"/>
          </w:tcPr>
          <w:p>
            <w:pPr>
              <w:spacing w:before="40" w:after="40" w:line="288" w:lineRule="auto"/>
            </w:pPr>
            <w:r/>
            <w:r>
              <w:rPr>
                <w:rFonts w:ascii="Microsoft YaHei" w:hAnsi="Microsoft YaHei"/>
                <w:sz w:val="18"/>
              </w:rPr>
              <w:t>资金面</w:t>
            </w:r>
          </w:p>
        </w:tc>
        <w:tc>
          <w:tcPr>
            <w:tcW w:type="dxa" w:w="4533"/>
          </w:tcPr>
          <w:p>
            <w:pPr>
              <w:spacing w:before="40" w:after="40" w:line="288" w:lineRule="auto"/>
            </w:pPr>
            <w:r/>
            <w:r>
              <w:rPr>
                <w:rFonts w:ascii="Microsoft YaHei" w:hAnsi="Microsoft YaHei"/>
                <w:sz w:val="18"/>
              </w:rPr>
              <w:t>✅ 持续净流入，大中小单合力偏多，融资低位</w:t>
            </w:r>
          </w:p>
        </w:tc>
      </w:tr>
      <w:tr>
        <w:tc>
          <w:tcPr>
            <w:tcW w:type="dxa" w:w="4533"/>
            <w:shd w:fill="F8F9FA" w:val="clear"/>
          </w:tcPr>
          <w:p>
            <w:pPr>
              <w:spacing w:before="40" w:after="40" w:line="288" w:lineRule="auto"/>
            </w:pPr>
            <w:r/>
            <w:r>
              <w:rPr>
                <w:rFonts w:ascii="Microsoft YaHei" w:hAnsi="Microsoft YaHei"/>
                <w:sz w:val="18"/>
              </w:rPr>
              <w:t>技术面</w:t>
            </w:r>
          </w:p>
        </w:tc>
        <w:tc>
          <w:tcPr>
            <w:tcW w:type="dxa" w:w="4533"/>
            <w:shd w:fill="F8F9FA" w:val="clear"/>
          </w:tcPr>
          <w:p>
            <w:pPr>
              <w:spacing w:before="40" w:after="40" w:line="288" w:lineRule="auto"/>
            </w:pPr>
            <w:r/>
            <w:r>
              <w:rPr>
                <w:rFonts w:ascii="Microsoft YaHei" w:hAnsi="Microsoft YaHei"/>
                <w:sz w:val="18"/>
              </w:rPr>
              <w:t>✅ 站上三条均线，布林带中轨上方运行</w:t>
            </w:r>
          </w:p>
        </w:tc>
      </w:tr>
      <w:tr>
        <w:tc>
          <w:tcPr>
            <w:tcW w:type="dxa" w:w="4533"/>
          </w:tcPr>
          <w:p>
            <w:pPr>
              <w:spacing w:before="40" w:after="40" w:line="288" w:lineRule="auto"/>
            </w:pPr>
            <w:r/>
            <w:r>
              <w:rPr>
                <w:rFonts w:ascii="Microsoft YaHei" w:hAnsi="Microsoft YaHei"/>
                <w:sz w:val="18"/>
              </w:rPr>
              <w:t>消息面</w:t>
            </w:r>
          </w:p>
        </w:tc>
        <w:tc>
          <w:tcPr>
            <w:tcW w:type="dxa" w:w="4533"/>
          </w:tcPr>
          <w:p>
            <w:pPr>
              <w:spacing w:before="40" w:after="40" w:line="288" w:lineRule="auto"/>
            </w:pPr>
            <w:r/>
            <w:r>
              <w:rPr>
                <w:rFonts w:ascii="Microsoft YaHei" w:hAnsi="Microsoft YaHei"/>
                <w:sz w:val="18"/>
              </w:rPr>
              <w:t>✅ 财务总监平稳更迭，中秋旺季预期渐进</w:t>
            </w:r>
          </w:p>
        </w:tc>
      </w:tr>
      <w:tr>
        <w:tc>
          <w:tcPr>
            <w:tcW w:type="dxa" w:w="4533"/>
            <w:shd w:fill="F8F9FA" w:val="clear"/>
          </w:tcPr>
          <w:p>
            <w:pPr>
              <w:spacing w:before="40" w:after="40" w:line="288" w:lineRule="auto"/>
            </w:pPr>
            <w:r/>
            <w:r>
              <w:rPr>
                <w:rFonts w:ascii="Microsoft YaHei" w:hAnsi="Microsoft YaHei"/>
                <w:sz w:val="18"/>
              </w:rPr>
              <w:t>板块联动</w:t>
            </w:r>
          </w:p>
        </w:tc>
        <w:tc>
          <w:tcPr>
            <w:tcW w:type="dxa" w:w="4533"/>
            <w:shd w:fill="F8F9FA" w:val="clear"/>
          </w:tcPr>
          <w:p>
            <w:pPr>
              <w:spacing w:before="40" w:after="40" w:line="288" w:lineRule="auto"/>
            </w:pPr>
            <w:r/>
            <w:r>
              <w:rPr>
                <w:rFonts w:ascii="Microsoft YaHei" w:hAnsi="Microsoft YaHei"/>
                <w:sz w:val="18"/>
              </w:rPr>
              <w:t>✅ 食品饮料板块领涨，个股具备催化条件</w:t>
            </w:r>
          </w:p>
        </w:tc>
      </w:tr>
    </w:tbl>
    <w:p/>
    <w:p>
      <w:r>
        <w:rPr>
          <w:rFonts w:ascii="Microsoft YaHei" w:hAnsi="Microsoft YaHei"/>
          <w:b/>
          <w:color w:val="1A1A1A"/>
        </w:rPr>
        <w:t>核心结论：</w:t>
      </w:r>
      <w:r>
        <w:rPr>
          <w:rFonts w:ascii="Microsoft YaHei" w:hAnsi="Microsoft YaHei"/>
        </w:rPr>
        <w:t xml:space="preserve"> 广州酒家今日上午呈现 </w:t>
      </w:r>
      <w:r>
        <w:rPr>
          <w:rFonts w:ascii="Microsoft YaHei" w:hAnsi="Microsoft YaHei"/>
          <w:b/>
          <w:color w:val="1A1A1A"/>
        </w:rPr>
        <w:t>量价齐升</w:t>
      </w:r>
      <w:r>
        <w:rPr>
          <w:rFonts w:ascii="Microsoft YaHei" w:hAnsi="Microsoft YaHei"/>
        </w:rPr>
        <w:t xml:space="preserve"> 的良好走势，半日涨幅+1.34%显著跑赢所属食品行业，资金呈持续净流入态势。技术面已站稳短期均线系统，处于布林带中轨上方运行，短期动能偏强。当前临近中秋月饼销售旺季，叠加消费板块政策预期升温，公司基本面与市场情绪形成共振。午后关注 </w:t>
      </w:r>
      <w:r>
        <w:rPr>
          <w:rFonts w:ascii="Microsoft YaHei" w:hAnsi="Microsoft YaHei"/>
          <w:b/>
          <w:color w:val="1A1A1A"/>
        </w:rPr>
        <w:t>13.72元（上午高点）</w:t>
      </w:r>
      <w:r>
        <w:rPr>
          <w:rFonts w:ascii="Microsoft YaHei" w:hAnsi="Microsoft YaHei"/>
        </w:rPr>
        <w:t xml:space="preserve"> 能否突破，上方压力位为布林上轨 </w:t>
      </w:r>
      <w:r>
        <w:rPr>
          <w:rFonts w:ascii="Microsoft YaHei" w:hAnsi="Microsoft YaHei"/>
          <w:b/>
          <w:color w:val="1A1A1A"/>
        </w:rPr>
        <w:t>13.89元</w:t>
      </w:r>
      <w:r>
        <w:rPr>
          <w:rFonts w:ascii="Microsoft YaHei" w:hAnsi="Microsoft YaHei"/>
        </w:rPr>
        <w:t xml:space="preserve">，下方支撑在 </w:t>
      </w:r>
      <w:r>
        <w:rPr>
          <w:rFonts w:ascii="Microsoft YaHei" w:hAnsi="Microsoft YaHei"/>
          <w:b/>
          <w:color w:val="1A1A1A"/>
        </w:rPr>
        <w:t>13.35元（上午低点）</w:t>
      </w:r>
      <w:r>
        <w:rPr>
          <w:rFonts w:ascii="Microsoft YaHei" w:hAnsi="Microsoft YaHei"/>
        </w:rPr>
        <w:t xml:space="preserve"> 及 </w:t>
      </w:r>
      <w:r>
        <w:rPr>
          <w:rFonts w:ascii="Microsoft YaHei" w:hAnsi="Microsoft YaHei"/>
          <w:b/>
          <w:color w:val="1A1A1A"/>
        </w:rPr>
        <w:t>MA10（13.34元）</w:t>
      </w:r>
      <w:r>
        <w:rPr>
          <w:rFonts w:ascii="Microsoft YaHei" w:hAnsi="Microsoft YaHei"/>
        </w:rPr>
        <w:t>。</w:t>
      </w:r>
    </w:p>
    <w:p>
      <w:r>
        <w:rPr>
          <w:rFonts w:ascii="Microsoft YaHei" w:hAnsi="Microsoft YaHei"/>
        </w:rPr>
        <w:t xml:space="preserve">&gt; ⚠️ </w:t>
      </w:r>
      <w:r>
        <w:rPr>
          <w:rFonts w:ascii="Microsoft YaHei" w:hAnsi="Microsoft YaHei"/>
          <w:b/>
          <w:color w:val="1A1A1A"/>
        </w:rPr>
        <w:t>风险提示：</w:t>
      </w:r>
      <w:r>
        <w:rPr>
          <w:rFonts w:ascii="Microsoft YaHei" w:hAnsi="Microsoft YaHei"/>
        </w:rPr>
        <w:t xml:space="preserve"> 以上分析基于公开数据和市场信息，仅供参考，不构成投资建议。股市有风险，投资需谨慎。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广州酒家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