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惠博普（002554.SZ）午间分析报告</w:t>
      </w: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今日全市场情绪偏暖，上涨家数 </w:t>
      </w:r>
      <w:r>
        <w:rPr>
          <w:rFonts w:ascii="Microsoft YaHei" w:hAnsi="Microsoft YaHei"/>
          <w:b/>
          <w:color w:val="1A1A1A"/>
        </w:rPr>
        <w:t>3407</w:t>
      </w:r>
      <w:r>
        <w:rPr>
          <w:rFonts w:ascii="Microsoft YaHei" w:hAnsi="Microsoft YaHei"/>
        </w:rPr>
        <w:t xml:space="preserve"> 家，下跌 </w:t>
      </w:r>
      <w:r>
        <w:rPr>
          <w:rFonts w:ascii="Microsoft YaHei" w:hAnsi="Microsoft YaHei"/>
          <w:b/>
          <w:color w:val="1A1A1A"/>
        </w:rPr>
        <w:t>2025</w:t>
      </w:r>
      <w:r>
        <w:rPr>
          <w:rFonts w:ascii="Microsoft YaHei" w:hAnsi="Microsoft YaHei"/>
        </w:rPr>
        <w:t xml:space="preserve"> 家，涨停 </w:t>
      </w:r>
      <w:r>
        <w:rPr>
          <w:rFonts w:ascii="Microsoft YaHei" w:hAnsi="Microsoft YaHei"/>
          <w:b/>
          <w:color w:val="1A1A1A"/>
        </w:rPr>
        <w:t>57</w:t>
      </w:r>
      <w:r>
        <w:rPr>
          <w:rFonts w:ascii="Microsoft YaHei" w:hAnsi="Microsoft YaHei"/>
        </w:rPr>
        <w:t xml:space="preserve"> 只，跌停 </w:t>
      </w:r>
      <w:r>
        <w:rPr>
          <w:rFonts w:ascii="Microsoft YaHei" w:hAnsi="Microsoft YaHei"/>
          <w:b/>
          <w:color w:val="1A1A1A"/>
        </w:rPr>
        <w:t>18</w:t>
      </w:r>
      <w:r>
        <w:rPr>
          <w:rFonts w:ascii="Microsoft YaHei" w:hAnsi="Microsoft YaHei"/>
        </w:rPr>
        <w:t xml:space="preserve"> 只，上涨占比约 </w:t>
      </w:r>
      <w:r>
        <w:rPr>
          <w:rFonts w:ascii="Microsoft YaHei" w:hAnsi="Microsoft YaHei"/>
          <w:b/>
          <w:color w:val="1A1A1A"/>
        </w:rPr>
        <w:t>79%</w:t>
      </w:r>
      <w:r>
        <w:rPr>
          <w:rFonts w:ascii="Microsoft YaHei" w:hAnsi="Microsoft YaHei"/>
        </w:rPr>
        <w:t xml:space="preserve">。市场热度指数报 </w:t>
      </w:r>
      <w:r>
        <w:rPr>
          <w:rFonts w:ascii="Microsoft YaHei" w:hAnsi="Microsoft YaHei"/>
          <w:b/>
          <w:color w:val="1A1A1A"/>
        </w:rPr>
        <w:t>56（高）</w:t>
      </w:r>
      <w:r>
        <w:rPr>
          <w:rFonts w:ascii="Microsoft YaHei" w:hAnsi="Microsoft YaHei"/>
        </w:rPr>
        <w:t xml:space="preserve">，成交额 </w:t>
      </w:r>
      <w:r>
        <w:rPr>
          <w:rFonts w:ascii="Microsoft YaHei" w:hAnsi="Microsoft YaHei"/>
          <w:b/>
          <w:color w:val="1A1A1A"/>
        </w:rPr>
        <w:t>1.46万亿</w:t>
      </w:r>
      <w:r>
        <w:rPr>
          <w:rFonts w:ascii="Microsoft YaHei" w:hAnsi="Microsoft YaHei"/>
        </w:rPr>
        <w:t xml:space="preserve">（较上一日增加 </w:t>
      </w:r>
      <w:r>
        <w:rPr>
          <w:rFonts w:ascii="Microsoft YaHei" w:hAnsi="Microsoft YaHei"/>
          <w:b/>
          <w:color w:val="1A1A1A"/>
        </w:rPr>
        <w:t>+1549亿</w:t>
      </w:r>
      <w:r>
        <w:rPr>
          <w:rFonts w:ascii="Microsoft YaHei" w:hAnsi="Microsoft YaHei"/>
        </w:rPr>
        <w:t xml:space="preserve">），整体赚钱效应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，呈普涨格局但赚钱效应未同步放大，个股分化明显。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2.82元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+2.17%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2.79 / 2.90 / 2.78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9,611万元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33.77万手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2.53%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4.35%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1.33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2.85元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关键解读：</w:t>
      </w:r>
    </w:p>
    <w:p>
      <w:pPr>
        <w:pStyle w:val="ListBullet"/>
      </w:pPr>
      <w:r>
        <w:rPr>
          <w:rFonts w:ascii="Microsoft YaHei" w:hAnsi="Microsoft YaHei"/>
        </w:rPr>
        <w:t xml:space="preserve">股价高开高走，盘中最高触及 </w:t>
      </w:r>
      <w:r>
        <w:rPr>
          <w:rFonts w:ascii="Microsoft YaHei" w:hAnsi="Microsoft YaHei"/>
          <w:b/>
          <w:color w:val="1A1A1A"/>
        </w:rPr>
        <w:t>2.90元</w:t>
      </w:r>
      <w:r>
        <w:rPr>
          <w:rFonts w:ascii="Microsoft YaHei" w:hAnsi="Microsoft YaHei"/>
        </w:rPr>
        <w:t xml:space="preserve">，随后小幅回落，午盘收于 </w:t>
      </w:r>
      <w:r>
        <w:rPr>
          <w:rFonts w:ascii="Microsoft YaHei" w:hAnsi="Microsoft YaHei"/>
          <w:b/>
          <w:color w:val="1A1A1A"/>
        </w:rPr>
        <w:t>2.82元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2.17%</w:t>
      </w:r>
      <w:r>
        <w:rPr>
          <w:rFonts w:ascii="Microsoft YaHei" w:hAnsi="Microsoft YaHei"/>
        </w:rPr>
        <w:t>，表现强于全市场平均水平。</w:t>
      </w:r>
    </w:p>
    <w:p>
      <w:pPr>
        <w:pStyle w:val="ListBullet"/>
      </w:pPr>
      <w:r>
        <w:rPr>
          <w:rFonts w:ascii="Microsoft YaHei" w:hAnsi="Microsoft YaHei"/>
        </w:rPr>
        <w:t xml:space="preserve">换手率 </w:t>
      </w:r>
      <w:r>
        <w:rPr>
          <w:rFonts w:ascii="Microsoft YaHei" w:hAnsi="Microsoft YaHei"/>
          <w:b/>
          <w:color w:val="1A1A1A"/>
        </w:rPr>
        <w:t>2.53%</w:t>
      </w:r>
      <w:r>
        <w:rPr>
          <w:rFonts w:ascii="Microsoft YaHei" w:hAnsi="Microsoft YaHei"/>
        </w:rPr>
        <w:t xml:space="preserve">，较上一交易日日终换手率 </w:t>
      </w:r>
      <w:r>
        <w:rPr>
          <w:rFonts w:ascii="Microsoft YaHei" w:hAnsi="Microsoft YaHei"/>
          <w:b/>
          <w:color w:val="1A1A1A"/>
        </w:rPr>
        <w:t>0.87%</w:t>
      </w:r>
      <w:r>
        <w:rPr>
          <w:rFonts w:ascii="Microsoft YaHei" w:hAnsi="Microsoft YaHei"/>
        </w:rPr>
        <w:t xml:space="preserve"> 放大约 </w:t>
      </w:r>
      <w:r>
        <w:rPr>
          <w:rFonts w:ascii="Microsoft YaHei" w:hAnsi="Microsoft YaHei"/>
          <w:b/>
          <w:color w:val="1A1A1A"/>
        </w:rPr>
        <w:t>2.9倍</w:t>
      </w:r>
      <w:r>
        <w:rPr>
          <w:rFonts w:ascii="Microsoft YaHei" w:hAnsi="Microsoft YaHei"/>
        </w:rPr>
        <w:t>，属于</w:t>
      </w:r>
      <w:r>
        <w:rPr>
          <w:rFonts w:ascii="Microsoft YaHei" w:hAnsi="Microsoft YaHei"/>
          <w:b/>
          <w:color w:val="1A1A1A"/>
        </w:rPr>
        <w:t>显著放量</w:t>
      </w:r>
      <w:r>
        <w:rPr>
          <w:rFonts w:ascii="Microsoft YaHei" w:hAnsi="Microsoft YaHei"/>
        </w:rPr>
        <w:t>，表明资金关注度明显提升。</w:t>
      </w:r>
    </w:p>
    <w:p>
      <w:pPr>
        <w:pStyle w:val="ListBullet"/>
      </w:pPr>
      <w:r>
        <w:rPr>
          <w:rFonts w:ascii="Microsoft YaHei" w:hAnsi="Microsoft YaHei"/>
        </w:rPr>
        <w:t xml:space="preserve">外盘 </w:t>
      </w:r>
      <w:r>
        <w:rPr>
          <w:rFonts w:ascii="Microsoft YaHei" w:hAnsi="Microsoft YaHei"/>
          <w:b/>
          <w:color w:val="1A1A1A"/>
        </w:rPr>
        <w:t>18.13万手</w:t>
      </w:r>
      <w:r>
        <w:rPr>
          <w:rFonts w:ascii="Microsoft YaHei" w:hAnsi="Microsoft YaHei"/>
        </w:rPr>
        <w:t xml:space="preserve"> 明显大于内盘 </w:t>
      </w:r>
      <w:r>
        <w:rPr>
          <w:rFonts w:ascii="Microsoft YaHei" w:hAnsi="Microsoft YaHei"/>
          <w:b/>
          <w:color w:val="1A1A1A"/>
        </w:rPr>
        <w:t>15.64万手</w:t>
      </w:r>
      <w:r>
        <w:rPr>
          <w:rFonts w:ascii="Microsoft YaHei" w:hAnsi="Microsoft YaHei"/>
        </w:rPr>
        <w:t>，买盘主动性更强，买方力量占优。</w:t>
      </w:r>
    </w:p>
    <w:p>
      <w:pPr>
        <w:pStyle w:val="ListBullet"/>
      </w:pPr>
      <w:r>
        <w:rPr>
          <w:rFonts w:ascii="Microsoft YaHei" w:hAnsi="Microsoft YaHei"/>
        </w:rPr>
        <w:t xml:space="preserve">动态市盈率 </w:t>
      </w:r>
      <w:r>
        <w:rPr>
          <w:rFonts w:ascii="Microsoft YaHei" w:hAnsi="Microsoft YaHei"/>
          <w:b/>
          <w:color w:val="1A1A1A"/>
        </w:rPr>
        <w:t>-34.64</w:t>
      </w:r>
      <w:r>
        <w:rPr>
          <w:rFonts w:ascii="Microsoft YaHei" w:hAnsi="Microsoft YaHei"/>
        </w:rPr>
        <w:t xml:space="preserve">，公司仍处于亏损状态，但市净率 </w:t>
      </w:r>
      <w:r>
        <w:rPr>
          <w:rFonts w:ascii="Microsoft YaHei" w:hAnsi="Microsoft YaHei"/>
          <w:b/>
          <w:color w:val="1A1A1A"/>
        </w:rPr>
        <w:t>1.97倍</w:t>
      </w:r>
      <w:r>
        <w:rPr>
          <w:rFonts w:ascii="Microsoft YaHei" w:hAnsi="Microsoft YaHei"/>
        </w:rPr>
        <w:t xml:space="preserve"> 处于相对合理区间。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今日资金流向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+279.85万元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流入/流出分钟数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58分钟流入 / 55分钟流出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281.5万元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175.7万元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+302,458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8,217,289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7,914,831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+2,535,459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7,085,178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4,549,719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-39,376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2,196,527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2,235,903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+2,798,541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关键解读：</w:t>
      </w:r>
    </w:p>
    <w:p>
      <w:pPr>
        <w:pStyle w:val="ListBullet"/>
      </w:pPr>
      <w:r>
        <w:rPr>
          <w:rFonts w:ascii="Microsoft YaHei" w:hAnsi="Microsoft YaHei"/>
        </w:rPr>
        <w:t>今日资金呈</w:t>
      </w:r>
      <w:r>
        <w:rPr>
          <w:rFonts w:ascii="Microsoft YaHei" w:hAnsi="Microsoft YaHei"/>
          <w:b/>
          <w:color w:val="1A1A1A"/>
        </w:rPr>
        <w:t>净流入</w:t>
      </w:r>
      <w:r>
        <w:rPr>
          <w:rFonts w:ascii="Microsoft YaHei" w:hAnsi="Microsoft YaHei"/>
        </w:rPr>
        <w:t>态势，流入时长略多于流出时长，最大单分钟流入（281.5万）明显超出最大单分钟流出（175.7万），买盘脉冲力度更强。</w:t>
      </w:r>
    </w:p>
    <w:p>
      <w:pPr>
        <w:pStyle w:val="ListBullet"/>
      </w:pPr>
      <w:r>
        <w:rPr>
          <w:rFonts w:ascii="Microsoft YaHei" w:hAnsi="Microsoft YaHei"/>
        </w:rPr>
        <w:t>从上一交易日数据看，</w:t>
      </w:r>
      <w:r>
        <w:rPr>
          <w:rFonts w:ascii="Microsoft YaHei" w:hAnsi="Microsoft YaHei"/>
          <w:b/>
          <w:color w:val="1A1A1A"/>
        </w:rPr>
        <w:t>中单（253.5万）</w:t>
      </w:r>
      <w:r>
        <w:rPr>
          <w:rFonts w:ascii="Microsoft YaHei" w:hAnsi="Microsoft YaHei"/>
        </w:rPr>
        <w:t xml:space="preserve"> 贡献了绝大部分净流入，大单小幅流入（30.2万），小单微幅流出。呈现</w:t>
      </w:r>
      <w:r>
        <w:rPr>
          <w:rFonts w:ascii="Microsoft YaHei" w:hAnsi="Microsoft YaHei"/>
          <w:b/>
          <w:color w:val="1A1A1A"/>
        </w:rPr>
        <w:t>中散户资金集中介入、大单温和参与</w:t>
      </w:r>
      <w:r>
        <w:rPr>
          <w:rFonts w:ascii="Microsoft YaHei" w:hAnsi="Microsoft YaHei"/>
        </w:rPr>
        <w:t>的格局，属于典型的事件驱动或板块联动型买入特征。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</w:t>
      </w:r>
    </w:p>
    <w:p>
      <w:r>
        <w:rPr>
          <w:rFonts w:ascii="Microsoft YaHei" w:hAnsi="Microsoft YaHei"/>
        </w:rPr>
        <w:t xml:space="preserve">上一交易日融资余额 </w:t>
      </w:r>
      <w:r>
        <w:rPr>
          <w:rFonts w:ascii="Microsoft YaHei" w:hAnsi="Microsoft YaHei"/>
          <w:b/>
          <w:color w:val="1A1A1A"/>
        </w:rPr>
        <w:t>1.65亿元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-1.90%</w:t>
      </w:r>
      <w:r>
        <w:rPr>
          <w:rFonts w:ascii="Microsoft YaHei" w:hAnsi="Microsoft YaHei"/>
        </w:rPr>
        <w:t xml:space="preserve">），融券余额接近零。融资余额占流通市值比例约 </w:t>
      </w:r>
      <w:r>
        <w:rPr>
          <w:rFonts w:ascii="Microsoft YaHei" w:hAnsi="Microsoft YaHei"/>
          <w:b/>
          <w:color w:val="1A1A1A"/>
        </w:rPr>
        <w:t>4.55%</w:t>
      </w:r>
      <w:r>
        <w:rPr>
          <w:rFonts w:ascii="Microsoft YaHei" w:hAnsi="Microsoft YaHei"/>
        </w:rPr>
        <w:t>，低于近一年10%分位水平，杠杆资金参与度偏低。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MA5（约2.79元）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股价在其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MA10（约2.82元）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股价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紧贴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0.0%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MA20/布林中轨（约2.93元）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股价在其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-3.8%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3.17元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2.69元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关键解读：</w:t>
      </w:r>
    </w:p>
    <w:p>
      <w:pPr>
        <w:pStyle w:val="ListBullet"/>
      </w:pPr>
      <w:r>
        <w:rPr>
          <w:rFonts w:ascii="Microsoft YaHei" w:hAnsi="Microsoft YaHei"/>
        </w:rPr>
        <w:t xml:space="preserve">股价站上 </w:t>
      </w:r>
      <w:r>
        <w:rPr>
          <w:rFonts w:ascii="Microsoft YaHei" w:hAnsi="Microsoft YaHei"/>
          <w:b/>
          <w:color w:val="1A1A1A"/>
        </w:rPr>
        <w:t>MA5</w:t>
      </w:r>
      <w:r>
        <w:rPr>
          <w:rFonts w:ascii="Microsoft YaHei" w:hAnsi="Microsoft YaHei"/>
        </w:rPr>
        <w:t>（+1.1%），短线走强信号确立。</w:t>
      </w:r>
    </w:p>
    <w:p>
      <w:pPr>
        <w:pStyle w:val="ListBullet"/>
      </w:pPr>
      <w:r>
        <w:rPr>
          <w:rFonts w:ascii="Microsoft YaHei" w:hAnsi="Microsoft YaHei"/>
        </w:rPr>
        <w:t>目前正</w:t>
      </w:r>
      <w:r>
        <w:rPr>
          <w:rFonts w:ascii="Microsoft YaHei" w:hAnsi="Microsoft YaHei"/>
          <w:b/>
          <w:color w:val="1A1A1A"/>
        </w:rPr>
        <w:t>精准回踩MA10</w:t>
      </w:r>
      <w:r>
        <w:rPr>
          <w:rFonts w:ascii="Microsoft YaHei" w:hAnsi="Microsoft YaHei"/>
        </w:rPr>
        <w:t>（2.82元），该位置是多空博弈的关键支撑位。午盘能否站稳MA10上方，是下午行情的重要观察点。</w:t>
      </w:r>
    </w:p>
    <w:p>
      <w:pPr>
        <w:pStyle w:val="ListBullet"/>
      </w:pPr>
      <w:r>
        <w:rPr>
          <w:rFonts w:ascii="Microsoft YaHei" w:hAnsi="Microsoft YaHei"/>
        </w:rPr>
        <w:t xml:space="preserve">距离 </w:t>
      </w:r>
      <w:r>
        <w:rPr>
          <w:rFonts w:ascii="Microsoft YaHei" w:hAnsi="Microsoft YaHei"/>
          <w:b/>
          <w:color w:val="1A1A1A"/>
        </w:rPr>
        <w:t>MA20/布林中轨（2.93元）</w:t>
      </w:r>
      <w:r>
        <w:rPr>
          <w:rFonts w:ascii="Microsoft YaHei" w:hAnsi="Microsoft YaHei"/>
        </w:rPr>
        <w:t xml:space="preserve"> 仍有 </w:t>
      </w:r>
      <w:r>
        <w:rPr>
          <w:rFonts w:ascii="Microsoft YaHei" w:hAnsi="Microsoft YaHei"/>
          <w:b/>
          <w:color w:val="1A1A1A"/>
        </w:rPr>
        <w:t>3.8%</w:t>
      </w:r>
      <w:r>
        <w:rPr>
          <w:rFonts w:ascii="Microsoft YaHei" w:hAnsi="Microsoft YaHei"/>
        </w:rPr>
        <w:t xml:space="preserve"> 的空间，中线压力尚存。</w:t>
      </w:r>
    </w:p>
    <w:p>
      <w:pPr>
        <w:pStyle w:val="ListBullet"/>
      </w:pPr>
      <w:r>
        <w:rPr>
          <w:rFonts w:ascii="Microsoft YaHei" w:hAnsi="Microsoft YaHei"/>
        </w:rPr>
        <w:t>布林带宽度（3.17-2.69=0.48元），当前价位于中轨下方但远离下轨，属于</w:t>
      </w:r>
      <w:r>
        <w:rPr>
          <w:rFonts w:ascii="Microsoft YaHei" w:hAnsi="Microsoft YaHei"/>
          <w:b/>
          <w:color w:val="1A1A1A"/>
        </w:rPr>
        <w:t>震荡偏反弹</w:t>
      </w:r>
      <w:r>
        <w:rPr>
          <w:rFonts w:ascii="Microsoft YaHei" w:hAnsi="Microsoft YaHei"/>
        </w:rPr>
        <w:t>格局。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 xml:space="preserve">上一交易日（7月27日）融资买入 </w:t>
      </w:r>
      <w:r>
        <w:rPr>
          <w:rFonts w:ascii="Microsoft YaHei" w:hAnsi="Microsoft YaHei"/>
          <w:b/>
          <w:color w:val="1A1A1A"/>
        </w:rPr>
        <w:t>177.08万元</w:t>
      </w:r>
      <w:r>
        <w:rPr>
          <w:rFonts w:ascii="Microsoft YaHei" w:hAnsi="Microsoft YaHei"/>
        </w:rPr>
        <w:t xml:space="preserve">，融资余额 </w:t>
      </w:r>
      <w:r>
        <w:rPr>
          <w:rFonts w:ascii="Microsoft YaHei" w:hAnsi="Microsoft YaHei"/>
          <w:b/>
          <w:color w:val="1A1A1A"/>
        </w:rPr>
        <w:t>1.69亿元</w:t>
      </w:r>
      <w:r>
        <w:rPr>
          <w:rFonts w:ascii="Microsoft YaHei" w:hAnsi="Microsoft YaHei"/>
        </w:rPr>
        <w:t xml:space="preserve">，融资余额占流通市值比例约 </w:t>
      </w:r>
      <w:r>
        <w:rPr>
          <w:rFonts w:ascii="Microsoft YaHei" w:hAnsi="Microsoft YaHei"/>
          <w:b/>
          <w:color w:val="1A1A1A"/>
        </w:rPr>
        <w:t>4.55%</w:t>
      </w:r>
      <w:r>
        <w:rPr>
          <w:rFonts w:ascii="Microsoft YaHei" w:hAnsi="Microsoft YaHei"/>
        </w:rPr>
        <w:t xml:space="preserve">，低于近一年10%分位水平。融资净买入额为 </w:t>
      </w:r>
      <w:r>
        <w:rPr>
          <w:rFonts w:ascii="Microsoft YaHei" w:hAnsi="Microsoft YaHei"/>
          <w:b/>
          <w:color w:val="1A1A1A"/>
        </w:rPr>
        <w:t>-320.5万元</w:t>
      </w:r>
      <w:r>
        <w:rPr>
          <w:rFonts w:ascii="Microsoft YaHei" w:hAnsi="Microsoft YaHei"/>
        </w:rPr>
        <w:t>，显示杠杆资金整体以偿还为主，参与意愿不强。</w:t>
      </w:r>
    </w:p>
    <w:p>
      <w:r>
        <w:rPr>
          <w:rFonts w:ascii="Microsoft YaHei" w:hAnsi="Microsoft YaHei"/>
        </w:rPr>
        <w:t>今日盘中未见公司层面的重大公告或消息发布，股价上涨更多受</w:t>
      </w:r>
      <w:r>
        <w:rPr>
          <w:rFonts w:ascii="Microsoft YaHei" w:hAnsi="Microsoft YaHei"/>
          <w:b/>
          <w:color w:val="1A1A1A"/>
        </w:rPr>
        <w:t>板块联动</w:t>
      </w:r>
      <w:r>
        <w:rPr>
          <w:rFonts w:ascii="Microsoft YaHei" w:hAnsi="Microsoft YaHei"/>
        </w:rPr>
        <w:t>驱动。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惠博普所属能源及油服板块今日表现强势：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该股板块内排名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能源(A股)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+2.62%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39/1158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51/83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能源设备与服务(A股)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+1.92%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55/1158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12/26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石油天然气设备与服务(A股)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+1.29%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96/1158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9/22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板块情绪：</w:t>
      </w:r>
    </w:p>
    <w:p>
      <w:pPr>
        <w:pStyle w:val="ListBullet"/>
      </w:pPr>
      <w:r>
        <w:rPr>
          <w:rFonts w:ascii="Microsoft YaHei" w:hAnsi="Microsoft YaHei"/>
        </w:rPr>
        <w:t>能源板块领涨股</w:t>
      </w:r>
      <w:r>
        <w:rPr>
          <w:rFonts w:ascii="Microsoft YaHei" w:hAnsi="Microsoft YaHei"/>
          <w:b/>
          <w:color w:val="1A1A1A"/>
        </w:rPr>
        <w:t>通源石油（+16.41%）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潜能恒信（+11.68%）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山东墨龙（+10.01%）</w:t>
      </w:r>
      <w:r>
        <w:rPr>
          <w:rFonts w:ascii="Microsoft YaHei" w:hAnsi="Microsoft YaHei"/>
        </w:rPr>
        <w:t>均大幅走强，带动板块整体活跃。惠博普作为能源设备与服务板块的一员，受到板块情绪提振。</w:t>
      </w:r>
    </w:p>
    <w:p>
      <w:pPr>
        <w:pStyle w:val="ListBullet"/>
      </w:pPr>
      <w:r>
        <w:rPr>
          <w:rFonts w:ascii="Microsoft YaHei" w:hAnsi="Microsoft YaHei"/>
        </w:rPr>
        <w:t>海工装备板块内，同属油服赛道的潜能恒信、山东墨龙等涨幅居前，进一步强化了油服方向的集体做多氛围。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今日放量上涨，短线动能增强。</w:t>
      </w:r>
      <w:r>
        <w:rPr>
          <w:rFonts w:ascii="Microsoft YaHei" w:hAnsi="Microsoft YaHei"/>
        </w:rPr>
        <w:t xml:space="preserve"> 换手率放大至 </w:t>
      </w:r>
      <w:r>
        <w:rPr>
          <w:rFonts w:ascii="Microsoft YaHei" w:hAnsi="Microsoft YaHei"/>
          <w:b/>
          <w:color w:val="1A1A1A"/>
        </w:rPr>
        <w:t>2.53%</w:t>
      </w:r>
      <w:r>
        <w:rPr>
          <w:rFonts w:ascii="Microsoft YaHei" w:hAnsi="Microsoft YaHei"/>
        </w:rPr>
        <w:t xml:space="preserve">（前日0.87%），量比 </w:t>
      </w:r>
      <w:r>
        <w:rPr>
          <w:rFonts w:ascii="Microsoft YaHei" w:hAnsi="Microsoft YaHei"/>
          <w:b/>
          <w:color w:val="1A1A1A"/>
        </w:rPr>
        <w:t>1.33</w:t>
      </w:r>
      <w:r>
        <w:rPr>
          <w:rFonts w:ascii="Microsoft YaHei" w:hAnsi="Microsoft YaHei"/>
        </w:rPr>
        <w:t>，量价配合良好，短线资金正在积极进场。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资金面温和偏多，以中散户资金为主。</w:t>
      </w:r>
      <w:r>
        <w:rPr>
          <w:rFonts w:ascii="Microsoft YaHei" w:hAnsi="Microsoft YaHei"/>
        </w:rPr>
        <w:t xml:space="preserve"> 净流入 </w:t>
      </w:r>
      <w:r>
        <w:rPr>
          <w:rFonts w:ascii="Microsoft YaHei" w:hAnsi="Microsoft YaHei"/>
          <w:b/>
          <w:color w:val="1A1A1A"/>
        </w:rPr>
        <w:t>279.85万元</w:t>
      </w:r>
      <w:r>
        <w:rPr>
          <w:rFonts w:ascii="Microsoft YaHei" w:hAnsi="Microsoft YaHei"/>
        </w:rPr>
        <w:t xml:space="preserve">，中单贡献最大，大单小幅参与，呈现散户活跃、主力观望的格局。日内买盘脉冲力度强于卖盘，午后若量能延续，股价有望继续向 </w:t>
      </w:r>
      <w:r>
        <w:rPr>
          <w:rFonts w:ascii="Microsoft YaHei" w:hAnsi="Microsoft YaHei"/>
          <w:b/>
          <w:color w:val="1A1A1A"/>
        </w:rPr>
        <w:t>MA20（2.93元）</w:t>
      </w:r>
      <w:r>
        <w:rPr>
          <w:rFonts w:ascii="Microsoft YaHei" w:hAnsi="Microsoft YaHei"/>
        </w:rPr>
        <w:t xml:space="preserve"> 发起挑战。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技术面关键位明确。</w:t>
      </w:r>
      <w:r>
        <w:rPr>
          <w:rFonts w:ascii="Microsoft YaHei" w:hAnsi="Microsoft YaHei"/>
        </w:rPr>
        <w:t xml:space="preserve"> 当前正位于 </w:t>
      </w:r>
      <w:r>
        <w:rPr>
          <w:rFonts w:ascii="Microsoft YaHei" w:hAnsi="Microsoft YaHei"/>
          <w:b/>
          <w:color w:val="1A1A1A"/>
        </w:rPr>
        <w:t>MA5（2.79）</w:t>
      </w:r>
      <w:r>
        <w:rPr>
          <w:rFonts w:ascii="Microsoft YaHei" w:hAnsi="Microsoft YaHei"/>
        </w:rPr>
        <w:t xml:space="preserve"> 与 </w:t>
      </w:r>
      <w:r>
        <w:rPr>
          <w:rFonts w:ascii="Microsoft YaHei" w:hAnsi="Microsoft YaHei"/>
          <w:b/>
          <w:color w:val="1A1A1A"/>
        </w:rPr>
        <w:t>MA10（2.82）</w:t>
      </w:r>
      <w:r>
        <w:rPr>
          <w:rFonts w:ascii="Microsoft YaHei" w:hAnsi="Microsoft YaHei"/>
        </w:rPr>
        <w:t xml:space="preserve"> 交汇处，</w:t>
      </w:r>
      <w:r>
        <w:rPr>
          <w:rFonts w:ascii="Microsoft YaHei" w:hAnsi="Microsoft YaHei"/>
          <w:b/>
          <w:color w:val="1A1A1A"/>
        </w:rPr>
        <w:t>2.82元</w:t>
      </w:r>
      <w:r>
        <w:rPr>
          <w:rFonts w:ascii="Microsoft YaHei" w:hAnsi="Microsoft YaHei"/>
        </w:rPr>
        <w:t xml:space="preserve">是多空分水岭；上方 </w:t>
      </w:r>
      <w:r>
        <w:rPr>
          <w:rFonts w:ascii="Microsoft YaHei" w:hAnsi="Microsoft YaHei"/>
          <w:b/>
          <w:color w:val="1A1A1A"/>
        </w:rPr>
        <w:t>2.90元</w:t>
      </w:r>
      <w:r>
        <w:rPr>
          <w:rFonts w:ascii="Microsoft YaHei" w:hAnsi="Microsoft YaHei"/>
        </w:rPr>
        <w:t xml:space="preserve">（今日高点）与 </w:t>
      </w:r>
      <w:r>
        <w:rPr>
          <w:rFonts w:ascii="Microsoft YaHei" w:hAnsi="Microsoft YaHei"/>
          <w:b/>
          <w:color w:val="1A1A1A"/>
        </w:rPr>
        <w:t>2.93元</w:t>
      </w:r>
      <w:r>
        <w:rPr>
          <w:rFonts w:ascii="Microsoft YaHei" w:hAnsi="Microsoft YaHei"/>
        </w:rPr>
        <w:t xml:space="preserve">（MA20/布林中轨）构成短期阻力带；下方 </w:t>
      </w:r>
      <w:r>
        <w:rPr>
          <w:rFonts w:ascii="Microsoft YaHei" w:hAnsi="Microsoft YaHei"/>
          <w:b/>
          <w:color w:val="1A1A1A"/>
        </w:rPr>
        <w:t>2.78元</w:t>
      </w:r>
      <w:r>
        <w:rPr>
          <w:rFonts w:ascii="Microsoft YaHei" w:hAnsi="Microsoft YaHei"/>
        </w:rPr>
        <w:t>（日内低点）为短线支撑。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板块情绪是主要驱动力。</w:t>
      </w:r>
      <w:r>
        <w:rPr>
          <w:rFonts w:ascii="Microsoft YaHei" w:hAnsi="Microsoft YaHei"/>
        </w:rPr>
        <w:t xml:space="preserve"> 今日能源/油服板块表现活跃，多只个股涨幅超过10%，惠博普受益于板块联动效应。但公司基本面仍处于亏损状态（PE为负），纯情绪驱动行情，需关注板块龙头持续性。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动态市盈率为负值，公司盈利能力尚未恢复；融资余额连续下降，杠杆资金偏谨慎；午后需留意板块情绪退潮及大盘量能变化带来的回落风险。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午后关注要点：</w:t>
      </w:r>
      <w:r>
        <w:rPr>
          <w:rFonts w:ascii="Microsoft YaHei" w:hAnsi="Microsoft YaHei"/>
        </w:rPr>
        <w:t xml:space="preserve"> 能否站稳 </w:t>
      </w:r>
      <w:r>
        <w:rPr>
          <w:rFonts w:ascii="Microsoft YaHei" w:hAnsi="Microsoft YaHei"/>
          <w:b/>
          <w:color w:val="1A1A1A"/>
        </w:rPr>
        <w:t>MA10（2.82元）</w:t>
      </w:r>
      <w:r>
        <w:rPr>
          <w:rFonts w:ascii="Microsoft YaHei" w:hAnsi="Microsoft YaHei"/>
        </w:rPr>
        <w:t xml:space="preserve"> 并突破 </w:t>
      </w:r>
      <w:r>
        <w:rPr>
          <w:rFonts w:ascii="Microsoft YaHei" w:hAnsi="Microsoft YaHei"/>
          <w:b/>
          <w:color w:val="1A1A1A"/>
        </w:rPr>
        <w:t>2.90元</w:t>
      </w:r>
      <w:r>
        <w:rPr>
          <w:rFonts w:ascii="Microsoft YaHei" w:hAnsi="Microsoft YaHei"/>
        </w:rPr>
        <w:t xml:space="preserve"> 前高，若放量突破则有望挑战 </w:t>
      </w:r>
      <w:r>
        <w:rPr>
          <w:rFonts w:ascii="Microsoft YaHei" w:hAnsi="Microsoft YaHei"/>
          <w:b/>
          <w:color w:val="1A1A1A"/>
        </w:rPr>
        <w:t>2.93元</w:t>
      </w:r>
      <w:r>
        <w:rPr>
          <w:rFonts w:ascii="Microsoft YaHei" w:hAnsi="Microsoft YaHei"/>
        </w:rPr>
        <w:t xml:space="preserve">；反之，若缩量回落至 </w:t>
      </w:r>
      <w:r>
        <w:rPr>
          <w:rFonts w:ascii="Microsoft YaHei" w:hAnsi="Microsoft YaHei"/>
          <w:b/>
          <w:color w:val="1A1A1A"/>
        </w:rPr>
        <w:t>2.79元（MA5）</w:t>
      </w:r>
      <w:r>
        <w:rPr>
          <w:rFonts w:ascii="Microsoft YaHei" w:hAnsi="Microsoft YaHei"/>
        </w:rPr>
        <w:t xml:space="preserve"> 以下，则反弹力度有限。投资有风险，操作需谨慎。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惠博普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