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好的，虽然正文无法获取，但标题和摘要已提供足够的关键信息。以下是结合全部数据生成的午间分析报告。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比亚迪（002594.SZ）午间分析报告 — 2026年7月28日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今日A股市场剧烈分化。早盘创业板指一度涨逾1%，但随后</w:t>
      </w:r>
      <w:r>
        <w:rPr>
          <w:rFonts w:ascii="Microsoft YaHei" w:hAnsi="Microsoft YaHei"/>
          <w:b/>
          <w:color w:val="1A1A1A"/>
        </w:rPr>
        <w:t>急速跳水，午间收盘跌幅扩大至逾6%</w:t>
      </w:r>
      <w:r>
        <w:rPr>
          <w:rFonts w:ascii="Microsoft YaHei" w:hAnsi="Microsoft YaHei"/>
        </w:rPr>
        <w:t>，沪指跌1.48%，深成指跌3.96%。全市场下跌个股近3100只，涨停68只、跌停50只，市场赚钱效应仅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，整体人气评分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全球半导体板块是本次调整的核心导火索：费城半导体指数隔夜再跌超2%，创5月20日以来新低；英伟达跌约5%，SK海力士跌破美股IPO发行价，韩国KOSPI指数盘中跌幅扩大至10%。英伟达推进新一轮超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>AI交易引发的"循环融资"担忧，正在冲击全球科技股估值。</w:t>
      </w:r>
    </w:p>
    <w:p>
      <w:r>
        <w:rPr>
          <w:rFonts w:ascii="Microsoft YaHei" w:hAnsi="Microsoft YaHei"/>
        </w:rPr>
        <w:t>在此背景下，比亚迪（002594.SZ）</w:t>
      </w:r>
      <w:r>
        <w:rPr>
          <w:rFonts w:ascii="Microsoft YaHei" w:hAnsi="Microsoft YaHei"/>
          <w:b/>
          <w:color w:val="1A1A1A"/>
        </w:rPr>
        <w:t>半日收报93.92元，上涨0.48%</w:t>
      </w:r>
      <w:r>
        <w:rPr>
          <w:rFonts w:ascii="Microsoft YaHei" w:hAnsi="Microsoft YaHei"/>
        </w:rPr>
        <w:t>，逆势翻红，表现显著强于大盘。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93.92元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昨收93.47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逆市收红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93.49 / 95.28 / 92.77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振幅2.69%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439,890手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约41.2亿元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昨日0.761%，放量约66%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相对缩量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52.41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静态PE为25.83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3.69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估值处于历史中位数偏上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8,562.87亿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</w:p>
        </w:tc>
      </w:tr>
    </w:tbl>
    <w:p/>
    <w:p>
      <w:r>
        <w:rPr>
          <w:rFonts w:ascii="Microsoft YaHei" w:hAnsi="Microsoft YaHei"/>
        </w:rPr>
        <w:t>股价早盘一度冲高至95.28元后回落，盘中在09:46出现一次</w:t>
      </w:r>
      <w:r>
        <w:rPr>
          <w:rFonts w:ascii="Microsoft YaHei" w:hAnsi="Microsoft YaHei"/>
          <w:b/>
          <w:color w:val="1A1A1A"/>
        </w:rPr>
        <w:t>大卖盘（92.97元）</w:t>
      </w:r>
      <w:r>
        <w:rPr>
          <w:rFonts w:ascii="Microsoft YaHei" w:hAnsi="Microsoft YaHei"/>
        </w:rPr>
        <w:t>，但随后获得支撑企稳，最终收于均价93.65元上方，说明多头承接意愿较强。成交额41.2亿元在今日量能收缩的背景下（全市场成交额2.03万亿，缩量508亿）仍保持活跃。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今日午间资金流向（逐分钟统计）：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净流入3.15亿元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6,806.5万元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3,618.2万元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上一个交易日（7月27日）资金细分：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大单买入2.56亿/卖出1.23亿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+1.64亿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中单持续净买入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融资融券（上一个交易日）：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126.63亿元</w:t>
      </w:r>
      <w:r>
        <w:rPr>
          <w:rFonts w:ascii="Microsoft YaHei" w:hAnsi="Microsoft YaHei"/>
        </w:rPr>
        <w:t>（较前日-0.15%），小幅偿还</w:t>
      </w:r>
    </w:p>
    <w:p>
      <w:pPr>
        <w:pStyle w:val="ListBullet"/>
      </w:pPr>
      <w:r>
        <w:rPr>
          <w:rFonts w:ascii="Microsoft YaHei" w:hAnsi="Microsoft YaHei"/>
        </w:rPr>
        <w:t>融券余额：0.43亿元（较前日+2.80%），做空力量略有增加但仍处低位</w:t>
      </w:r>
    </w:p>
    <w:p>
      <w:r>
        <w:rPr>
          <w:rFonts w:ascii="Microsoft YaHei" w:hAnsi="Microsoft YaHei"/>
        </w:rPr>
        <w:t>资金面整体偏多。今日净流入3.15亿与昨日全日净额（3.15亿）持平，表明资金在今日大盘暴跌中仍在主动流入比亚迪，</w:t>
      </w:r>
      <w:r>
        <w:rPr>
          <w:rFonts w:ascii="Microsoft YaHei" w:hAnsi="Microsoft YaHei"/>
          <w:b/>
          <w:color w:val="1A1A1A"/>
        </w:rPr>
        <w:t>大单资金态度积极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MA5（92.47）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MA10（91.38）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MA20/布林中轨（87.63）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布林带上轨（97.19）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上方压力位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距当前约3.5%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布林带下轨（78.07）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距当前约20.3%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股价位于MA5、MA10、MA20三条均线之上，呈</w:t>
      </w:r>
      <w:r>
        <w:rPr>
          <w:rFonts w:ascii="Microsoft YaHei" w:hAnsi="Microsoft YaHei"/>
          <w:b/>
          <w:color w:val="1A1A1A"/>
        </w:rPr>
        <w:t>短期多头排列</w:t>
      </w:r>
    </w:p>
    <w:p>
      <w:pPr>
        <w:pStyle w:val="ListBullet"/>
      </w:pPr>
      <w:r>
        <w:rPr>
          <w:rFonts w:ascii="Microsoft YaHei" w:hAnsi="Microsoft YaHei"/>
        </w:rPr>
        <w:t>布林带上下轨宽度约19.12元，</w:t>
      </w:r>
      <w:r>
        <w:rPr>
          <w:rFonts w:ascii="Microsoft YaHei" w:hAnsi="Microsoft YaHei"/>
          <w:b/>
          <w:color w:val="1A1A1A"/>
        </w:rPr>
        <w:t>带宽较宽</w:t>
      </w:r>
      <w:r>
        <w:rPr>
          <w:rFonts w:ascii="Microsoft YaHei" w:hAnsi="Microsoft YaHei"/>
        </w:rPr>
        <w:t>，表明波动性较大</w:t>
      </w:r>
    </w:p>
    <w:p>
      <w:pPr>
        <w:pStyle w:val="ListBullet"/>
      </w:pPr>
      <w:r>
        <w:rPr>
          <w:rFonts w:ascii="Microsoft YaHei" w:hAnsi="Microsoft YaHei"/>
        </w:rPr>
        <w:t>股价偏离MA20达7.2%，短期存在一定乖离，有向中轨</w:t>
      </w:r>
      <w:r>
        <w:rPr>
          <w:rFonts w:ascii="Microsoft YaHei" w:hAnsi="Microsoft YaHei"/>
          <w:b/>
          <w:color w:val="1A1A1A"/>
        </w:rPr>
        <w:t>技术性回归</w:t>
      </w:r>
      <w:r>
        <w:rPr>
          <w:rFonts w:ascii="Microsoft YaHei" w:hAnsi="Microsoft YaHei"/>
        </w:rPr>
        <w:t>的可能</w:t>
      </w:r>
    </w:p>
    <w:p>
      <w:pPr>
        <w:pStyle w:val="ListBullet"/>
      </w:pPr>
      <w:r>
        <w:rPr>
          <w:rFonts w:ascii="Microsoft YaHei" w:hAnsi="Microsoft YaHei"/>
        </w:rPr>
        <w:t>上方阻力位在布林带上轨</w:t>
      </w:r>
      <w:r>
        <w:rPr>
          <w:rFonts w:ascii="Microsoft YaHei" w:hAnsi="Microsoft YaHei"/>
          <w:b/>
          <w:color w:val="1A1A1A"/>
        </w:rPr>
        <w:t>97.19元</w:t>
      </w:r>
      <w:r>
        <w:rPr>
          <w:rFonts w:ascii="Microsoft YaHei" w:hAnsi="Microsoft YaHei"/>
        </w:rPr>
        <w:t>（约+3.5%），下方支撑在MA5的</w:t>
      </w:r>
      <w:r>
        <w:rPr>
          <w:rFonts w:ascii="Microsoft YaHei" w:hAnsi="Microsoft YaHei"/>
          <w:b/>
          <w:color w:val="1A1A1A"/>
        </w:rPr>
        <w:t>92.47元</w:t>
      </w:r>
      <w:r>
        <w:rPr>
          <w:rFonts w:ascii="Microsoft YaHei" w:hAnsi="Microsoft YaHei"/>
        </w:rPr>
        <w:t>附近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核心催化剂：人形机器人8月亮相</w:t>
      </w:r>
    </w:p>
    <w:p>
      <w:r>
        <w:rPr>
          <w:rFonts w:ascii="Microsoft YaHei" w:hAnsi="Microsoft YaHei"/>
        </w:rPr>
        <w:t>比亚迪官方回应称，计划八月在"迪空间"</w:t>
      </w:r>
      <w:r>
        <w:rPr>
          <w:rFonts w:ascii="Microsoft YaHei" w:hAnsi="Microsoft YaHei"/>
          <w:b/>
          <w:color w:val="1A1A1A"/>
        </w:rPr>
        <w:t>首发亮相人形机器人</w:t>
      </w:r>
      <w:r>
        <w:rPr>
          <w:rFonts w:ascii="Microsoft YaHei" w:hAnsi="Microsoft YaHei"/>
        </w:rPr>
        <w:t>，目标先在4S店做销售，</w:t>
      </w:r>
      <w:r>
        <w:rPr>
          <w:rFonts w:ascii="Microsoft YaHei" w:hAnsi="Microsoft YaHei"/>
          <w:b/>
          <w:color w:val="1A1A1A"/>
        </w:rPr>
        <w:t>一至两年内实现商业落地</w:t>
      </w:r>
      <w:r>
        <w:rPr>
          <w:rFonts w:ascii="Microsoft YaHei" w:hAnsi="Microsoft YaHei"/>
        </w:rPr>
        <w:t>。这是比亚迪在具身智能领域的重大战略部署，也契合当前整车厂纷纷"造人"的行业趋势（小鹏IRON量产在即、理想双路并进）。</w:t>
      </w:r>
    </w:p>
    <w:p>
      <w:r>
        <w:rPr>
          <w:rFonts w:ascii="Microsoft YaHei" w:hAnsi="Microsoft YaHei"/>
        </w:rPr>
        <w:t>&gt; 机器人概念板块今日微跌1.12%，但板块内仍有华达科技（+10.01%）、明新旭腾（+10.02%）等多只个股涨停，说明市场对该赛道仍有较高热情。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日本市场拓展：首款特供车RACCO上市</w:t>
      </w:r>
    </w:p>
    <w:p>
      <w:r>
        <w:rPr>
          <w:rFonts w:ascii="Microsoft YaHei" w:hAnsi="Microsoft YaHei"/>
        </w:rPr>
        <w:t>比亚迪在日本推出RACCO微型电动车，</w:t>
      </w:r>
      <w:r>
        <w:rPr>
          <w:rFonts w:ascii="Microsoft YaHei" w:hAnsi="Microsoft YaHei"/>
          <w:b/>
          <w:color w:val="1A1A1A"/>
        </w:rPr>
        <w:t>补贴后售价低于200万日元</w:t>
      </w:r>
      <w:r>
        <w:rPr>
          <w:rFonts w:ascii="Microsoft YaHei" w:hAnsi="Microsoft YaHei"/>
        </w:rPr>
        <w:t>，并请当红女星代言。此举显示比亚迪</w:t>
      </w:r>
      <w:r>
        <w:rPr>
          <w:rFonts w:ascii="Microsoft YaHei" w:hAnsi="Microsoft YaHei"/>
          <w:b/>
          <w:color w:val="1A1A1A"/>
        </w:rPr>
        <w:t>海外市场拓展决心坚定</w:t>
      </w:r>
      <w:r>
        <w:rPr>
          <w:rFonts w:ascii="Microsoft YaHei" w:hAnsi="Microsoft YaHei"/>
        </w:rPr>
        <w:t>，日本作为传统汽车强国，微型电动车切入策略精准，有望打开增量空间。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长鑫科技投资浮盈</w:t>
      </w:r>
    </w:p>
    <w:p>
      <w:r>
        <w:rPr>
          <w:rFonts w:ascii="Microsoft YaHei" w:hAnsi="Microsoft YaHei"/>
        </w:rPr>
        <w:t>比亚迪董秘透露，六年前公司以</w:t>
      </w:r>
      <w:r>
        <w:rPr>
          <w:rFonts w:ascii="Microsoft YaHei" w:hAnsi="Microsoft YaHei"/>
          <w:b/>
          <w:color w:val="1A1A1A"/>
        </w:rPr>
        <w:t>198亿元投前估值</w:t>
      </w:r>
      <w:r>
        <w:rPr>
          <w:rFonts w:ascii="Microsoft YaHei" w:hAnsi="Microsoft YaHei"/>
        </w:rPr>
        <w:t>参与长鑫科技首轮融资。长鑫科技今日科创板上市，发行价8.66元/股，首日收涨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>，总市值达3.28万亿元。该笔投资对比亚迪的</w:t>
      </w:r>
      <w:r>
        <w:rPr>
          <w:rFonts w:ascii="Microsoft YaHei" w:hAnsi="Microsoft YaHei"/>
          <w:b/>
          <w:color w:val="1A1A1A"/>
        </w:rPr>
        <w:t>隐形资产价值</w:t>
      </w:r>
      <w:r>
        <w:rPr>
          <w:rFonts w:ascii="Microsoft YaHei" w:hAnsi="Microsoft YaHei"/>
        </w:rPr>
        <w:t>构成重大利好（虽未明确具体持股比例，但早期参与意味着可观回报）。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多技术路线布局</w:t>
      </w:r>
    </w:p>
    <w:p>
      <w:r>
        <w:rPr>
          <w:rFonts w:ascii="Microsoft YaHei" w:hAnsi="Microsoft YaHei"/>
        </w:rPr>
        <w:t>针对投资者关于钠电池的提问，比亚迪回应"</w:t>
      </w:r>
      <w:r>
        <w:rPr>
          <w:rFonts w:ascii="Microsoft YaHei" w:hAnsi="Microsoft YaHei"/>
          <w:b/>
          <w:color w:val="1A1A1A"/>
        </w:rPr>
        <w:t>公司对电池多技术路线均有布局</w:t>
      </w:r>
      <w:r>
        <w:rPr>
          <w:rFonts w:ascii="Microsoft YaHei" w:hAnsi="Microsoft YaHei"/>
        </w:rPr>
        <w:t>"，显示出在固态电池、钠电池等前沿方向上的技术储备，有利于维持长期竞争力。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逆势上涨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汽车制造商（A股）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行业龙头带动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汽车与汽车零部件（A股）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分化明显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整体承压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跟随大盘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板块分析：</w:t>
      </w:r>
    </w:p>
    <w:p>
      <w:pPr>
        <w:pStyle w:val="ListBullet"/>
      </w:pPr>
      <w:r>
        <w:rPr>
          <w:rFonts w:ascii="Microsoft YaHei" w:hAnsi="Microsoft YaHei"/>
        </w:rPr>
        <w:t>比亚迪所属的</w:t>
      </w:r>
      <w:r>
        <w:rPr>
          <w:rFonts w:ascii="Microsoft YaHei" w:hAnsi="Microsoft YaHei"/>
          <w:b/>
          <w:color w:val="1A1A1A"/>
        </w:rPr>
        <w:t>汽车制造商板块（+1.03%）</w:t>
      </w:r>
      <w:r>
        <w:rPr>
          <w:rFonts w:ascii="Microsoft YaHei" w:hAnsi="Microsoft YaHei"/>
        </w:rPr>
        <w:t>在今日大跌中逆势走强，板块内宇通客车（+7.83%）、春风动力（+6.77%）、长城汽车（+4.47%）等集体大涨，说明资金在防御情绪下</w:t>
      </w:r>
      <w:r>
        <w:rPr>
          <w:rFonts w:ascii="Microsoft YaHei" w:hAnsi="Microsoft YaHei"/>
          <w:b/>
          <w:color w:val="1A1A1A"/>
        </w:rPr>
        <w:t>偏好汽车整车龙头</w:t>
      </w:r>
    </w:p>
    <w:p>
      <w:pPr>
        <w:pStyle w:val="ListBullet"/>
      </w:pPr>
      <w:r>
        <w:rPr>
          <w:rFonts w:ascii="Microsoft YaHei" w:hAnsi="Microsoft YaHei"/>
        </w:rPr>
        <w:t>新能源汽车板块整体下跌4.11%，比亚迪</w:t>
      </w:r>
      <w:r>
        <w:rPr>
          <w:rFonts w:ascii="Microsoft YaHei" w:hAnsi="Microsoft YaHei"/>
          <w:b/>
          <w:color w:val="1A1A1A"/>
        </w:rPr>
        <w:t>逆势上涨0.48%</w:t>
      </w:r>
      <w:r>
        <w:rPr>
          <w:rFonts w:ascii="Microsoft YaHei" w:hAnsi="Microsoft YaHei"/>
        </w:rPr>
        <w:t>，相对板块超额收益达</w:t>
      </w:r>
      <w:r>
        <w:rPr>
          <w:rFonts w:ascii="Microsoft YaHei" w:hAnsi="Microsoft YaHei"/>
          <w:b/>
          <w:color w:val="1A1A1A"/>
        </w:rPr>
        <w:t>4.59%</w:t>
      </w:r>
      <w:r>
        <w:rPr>
          <w:rFonts w:ascii="Microsoft YaHei" w:hAnsi="Microsoft YaHei"/>
        </w:rPr>
        <w:t>，体现其独立逻辑（机器人+长鑫投资+日本市场）</w:t>
      </w:r>
    </w:p>
    <w:p>
      <w:pPr>
        <w:pStyle w:val="ListBullet"/>
      </w:pPr>
      <w:r>
        <w:rPr>
          <w:rFonts w:ascii="Microsoft YaHei" w:hAnsi="Microsoft YaHei"/>
        </w:rPr>
        <w:t>汽车零部件板块下跌2.71%，产业链上下游分化明显，资金向整车龙头集中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权重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价格走势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 逆势翻红，抗跌性强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 净流入3.15亿，大单积极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 多头排列，但偏离较大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催化剂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 机器人+长鑫投资+日本市场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 整车板块领涨，龙头效应显著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外围风险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 全球半导体杀估值，需警惕传导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>今日在全球科技股暴跌、创业板指重挫逾6%的极端环境下，比亚迪逆势收红，展现极强的</w:t>
      </w:r>
      <w:r>
        <w:rPr>
          <w:rFonts w:ascii="Microsoft YaHei" w:hAnsi="Microsoft YaHei"/>
          <w:b/>
          <w:color w:val="1A1A1A"/>
        </w:rPr>
        <w:t>防御属性和独立逻辑</w:t>
      </w:r>
      <w:r>
        <w:rPr>
          <w:rFonts w:ascii="Microsoft YaHei" w:hAnsi="Microsoft YaHei"/>
        </w:rPr>
        <w:t>。三大核心催化——</w:t>
      </w:r>
      <w:r>
        <w:rPr>
          <w:rFonts w:ascii="Microsoft YaHei" w:hAnsi="Microsoft YaHei"/>
          <w:b/>
          <w:color w:val="1A1A1A"/>
        </w:rPr>
        <w:t>人形机器人8月亮相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长鑫科技投资巨额浮盈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日本特供车上市</w:t>
      </w:r>
      <w:r>
        <w:rPr>
          <w:rFonts w:ascii="Microsoft YaHei" w:hAnsi="Microsoft YaHei"/>
        </w:rPr>
        <w:t>——构成短期多头情绪的支撑。资金面上大单连续净流入，技术面维持多头排列，整体格局偏强。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Number"/>
      </w:pPr>
      <w:r>
        <w:rPr>
          <w:rFonts w:ascii="Microsoft YaHei" w:hAnsi="Microsoft YaHei"/>
        </w:rPr>
        <w:t>全球半导体板块持续下跌如果蔓延至新能源/智能汽车相关供应链，可能对板块形成拖累</w:t>
      </w:r>
    </w:p>
    <w:p>
      <w:pPr>
        <w:pStyle w:val="ListNumber"/>
      </w:pPr>
      <w:r>
        <w:rPr>
          <w:rFonts w:ascii="Microsoft YaHei" w:hAnsi="Microsoft YaHei"/>
        </w:rPr>
        <w:t>股价偏离MA20达7.2%，短期存在技术性回调压力</w:t>
      </w:r>
    </w:p>
    <w:p>
      <w:pPr>
        <w:pStyle w:val="ListNumber"/>
      </w:pPr>
      <w:r>
        <w:rPr>
          <w:rFonts w:ascii="Microsoft YaHei" w:hAnsi="Microsoft YaHei"/>
        </w:rPr>
        <w:t>市场整体成交量萎缩，若后续量能无法持续，突破前高（95.28元）的动能可能不足</w:t>
      </w:r>
    </w:p>
    <w:p>
      <w:pPr>
        <w:pStyle w:val="ListNumber"/>
      </w:pPr>
      <w:r>
        <w:rPr>
          <w:rFonts w:ascii="Microsoft YaHei" w:hAnsi="Microsoft YaHei"/>
        </w:rPr>
        <w:t>融资余额微降，融券微增，需关注后续杠杆资金态度变化</w:t>
      </w:r>
    </w:p>
    <w:p>
      <w:r>
        <w:rPr>
          <w:rFonts w:ascii="Microsoft YaHei" w:hAnsi="Microsoft YaHei"/>
          <w:b/>
          <w:color w:val="1A1A1A"/>
        </w:rPr>
        <w:t>午间操作参考：</w:t>
      </w:r>
      <w:r>
        <w:rPr>
          <w:rFonts w:ascii="Microsoft YaHei" w:hAnsi="Microsoft YaHei"/>
        </w:rPr>
        <w:t xml:space="preserve"> 持仓者可在MA5（约92.47元）上方继续持有，新开仓建议等待回调至MA5-MA10区间（92-93元）逢低布局，上方关注布林带上轨97.19元压力位。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*数据来源：财联社、同花顺 | 报告时间：2026年7月28日 午间 | 投资有风险，入市需谨慎*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比亚迪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