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比亚迪（002594.SZ）午间分析报告</w:t>
      </w:r>
    </w:p>
    <w:p>
      <w:r>
        <w:rPr>
          <w:b/>
        </w:rPr>
        <w:t>数据截止时间：2026年7月28日 11:30</w:t>
      </w:r>
    </w:p>
    <w:p>
      <w:pPr>
        <w:spacing w:before="120" w:after="120"/>
      </w:pPr>
      <w:r>
        <w:rPr>
          <w:color w:val="B4B4B4"/>
          <w:sz w:val="16"/>
        </w:rPr>
        <w:t>────────────────────────────────────────</w:t>
      </w:r>
    </w:p>
    <w:p>
      <w:pPr>
        <w:pStyle w:val="Heading2"/>
      </w:pPr>
      <w:r>
        <w:t>市场概况</w:t>
      </w:r>
    </w:p>
    <w:p>
      <w:r>
        <w:t xml:space="preserve">今日A股市场出现剧烈分化。创业板指盘中一度跌逾 </w:t>
      </w:r>
      <w:r>
        <w:rPr>
          <w:b/>
        </w:rPr>
        <w:t>6%</w:t>
      </w:r>
      <w:r>
        <w:t xml:space="preserve">，沪指跌 </w:t>
      </w:r>
      <w:r>
        <w:rPr>
          <w:b/>
        </w:rPr>
        <w:t>1.48%</w:t>
      </w:r>
      <w:r>
        <w:t xml:space="preserve">，深成指跌 </w:t>
      </w:r>
      <w:r>
        <w:rPr>
          <w:b/>
        </w:rPr>
        <w:t>3.96%</w:t>
      </w:r>
      <w:r>
        <w:t xml:space="preserve">。算力硬件、半导体芯片、贵金属等方向跌幅居前，全市场下跌个股近 </w:t>
      </w:r>
      <w:r>
        <w:rPr>
          <w:b/>
        </w:rPr>
        <w:t>3100只</w:t>
      </w:r>
      <w:r>
        <w:t xml:space="preserve">。外围方面，韩国KOSPI指数跌幅扩大至 </w:t>
      </w:r>
      <w:r>
        <w:rPr>
          <w:b/>
        </w:rPr>
        <w:t>10%</w:t>
      </w:r>
      <w:r>
        <w:t>，SK海力士跌超13%、三星电子跌逾12%，全球半导体抛售情绪传导至A股。</w:t>
      </w:r>
    </w:p>
    <w:p>
      <w:r>
        <w:t xml:space="preserve">在此背景下，比亚迪逆势收报 </w:t>
      </w:r>
      <w:r>
        <w:rPr>
          <w:b/>
        </w:rPr>
        <w:t>93.92元</w:t>
      </w:r>
      <w:r>
        <w:t xml:space="preserve">，涨幅 </w:t>
      </w:r>
      <w:r>
        <w:rPr>
          <w:b/>
        </w:rPr>
        <w:t>+0.48%</w:t>
      </w:r>
      <w:r>
        <w:t>，表现显著强于大盘及同行业板块，展示出较强的资金防御属性。</w:t>
      </w:r>
    </w:p>
    <w:p>
      <w:pPr>
        <w:spacing w:before="120" w:after="120"/>
      </w:pPr>
      <w:r>
        <w:rPr>
          <w:color w:val="B4B4B4"/>
          <w:sz w:val="16"/>
        </w:rPr>
        <w:t>────────────────────────────────────────</w:t>
      </w:r>
    </w:p>
    <w:p>
      <w:pPr>
        <w:pStyle w:val="Heading2"/>
      </w:pPr>
      <w:r>
        <w:t>个股分析</w:t>
      </w:r>
    </w:p>
    <w:p>
      <w:pPr>
        <w:spacing w:before="40" w:after="40"/>
      </w:pPr>
      <w:r>
        <w:t>| 指标 | 数值 |</w:t>
      </w:r>
    </w:p>
    <w:p>
      <w:pPr>
        <w:spacing w:before="40" w:after="40"/>
      </w:pPr>
      <w:r>
        <w:t xml:space="preserve">| 当前价 | </w:t>
      </w:r>
      <w:r>
        <w:rPr>
          <w:b/>
        </w:rPr>
        <w:t>93.92元</w:t>
      </w:r>
      <w:r>
        <w:t xml:space="preserve"> |</w:t>
      </w:r>
    </w:p>
    <w:p>
      <w:pPr>
        <w:spacing w:before="40" w:after="40"/>
      </w:pPr>
      <w:r>
        <w:t>| 昨收 / 开盘 | 93.47 / 93.49 |</w:t>
      </w:r>
    </w:p>
    <w:p>
      <w:pPr>
        <w:spacing w:before="40" w:after="40"/>
      </w:pPr>
      <w:r>
        <w:t>| 最高 / 最低 | 95.28 / 92.77 |</w:t>
      </w:r>
    </w:p>
    <w:p>
      <w:pPr>
        <w:spacing w:before="40" w:after="40"/>
      </w:pPr>
      <w:r>
        <w:t xml:space="preserve">| 涨跌幅 | </w:t>
      </w:r>
      <w:r>
        <w:rPr>
          <w:b/>
        </w:rPr>
        <w:t>+0.48%</w:t>
      </w:r>
      <w:r>
        <w:t xml:space="preserve"> |</w:t>
      </w:r>
    </w:p>
    <w:p>
      <w:pPr>
        <w:spacing w:before="40" w:after="40"/>
      </w:pPr>
      <w:r>
        <w:t xml:space="preserve">| 成交额 | </w:t>
      </w:r>
      <w:r>
        <w:rPr>
          <w:b/>
        </w:rPr>
        <w:t>41.20亿元</w:t>
      </w:r>
      <w:r>
        <w:t>（午间） |</w:t>
      </w:r>
    </w:p>
    <w:p>
      <w:pPr>
        <w:spacing w:before="40" w:after="40"/>
      </w:pPr>
      <w:r>
        <w:t xml:space="preserve">| 换手率 | </w:t>
      </w:r>
      <w:r>
        <w:rPr>
          <w:b/>
        </w:rPr>
        <w:t>1.26%</w:t>
      </w:r>
      <w:r>
        <w:t xml:space="preserve"> |</w:t>
      </w:r>
    </w:p>
    <w:p>
      <w:pPr>
        <w:spacing w:before="40" w:after="40"/>
      </w:pPr>
      <w:r>
        <w:t>| 量比 | 0.79（缩量） |</w:t>
      </w:r>
    </w:p>
    <w:p>
      <w:pPr>
        <w:spacing w:before="40" w:after="40"/>
      </w:pPr>
      <w:r>
        <w:t xml:space="preserve">| 动态市盈率 | </w:t>
      </w:r>
      <w:r>
        <w:rPr>
          <w:b/>
        </w:rPr>
        <w:t>52.41倍</w:t>
      </w:r>
      <w:r>
        <w:t xml:space="preserve"> |</w:t>
      </w:r>
    </w:p>
    <w:p>
      <w:pPr>
        <w:spacing w:before="40" w:after="40"/>
      </w:pPr>
      <w:r>
        <w:t xml:space="preserve">| 市净率 | </w:t>
      </w:r>
      <w:r>
        <w:rPr>
          <w:b/>
        </w:rPr>
        <w:t>3.69倍</w:t>
      </w:r>
      <w:r>
        <w:t xml:space="preserve"> |</w:t>
      </w:r>
    </w:p>
    <w:p>
      <w:pPr>
        <w:spacing w:before="40" w:after="40"/>
      </w:pPr>
      <w:r>
        <w:t xml:space="preserve">| 总市值 | </w:t>
      </w:r>
      <w:r>
        <w:rPr>
          <w:b/>
        </w:rPr>
        <w:t>8,562.87亿元</w:t>
      </w:r>
      <w:r>
        <w:t xml:space="preserve"> |</w:t>
      </w:r>
    </w:p>
    <w:p>
      <w:pPr>
        <w:pStyle w:val="ListBullet"/>
      </w:pPr>
      <w:r>
        <w:t>**换手率分析**：今日午间换手率 **1.26%**，较上一交易日全日换手率 **0.761%** 放大 **66%**，属于**放量上涨**，显示交投活跃度显著提升。</w:t>
      </w:r>
    </w:p>
    <w:p>
      <w:pPr>
        <w:pStyle w:val="ListBullet"/>
      </w:pPr>
      <w:r>
        <w:t>**盘中振幅**：2.69%，日内波动区间为 **92.77元~95.28元**，早盘一度冲高后回落，盘中09:46:06出现一次大卖盘（触及92.97元），随后企稳回升。</w:t>
      </w:r>
    </w:p>
    <w:p>
      <w:pPr>
        <w:pStyle w:val="ListBullet"/>
      </w:pPr>
      <w:r>
        <w:t>**内外盘比**：外盘 **226,880手** vs 内盘 **213,010手**，外盘略大于内盘，买方力量稍占优势。</w:t>
      </w:r>
    </w:p>
    <w:p>
      <w:pPr>
        <w:spacing w:before="120" w:after="120"/>
      </w:pPr>
      <w:r>
        <w:rPr>
          <w:color w:val="B4B4B4"/>
          <w:sz w:val="16"/>
        </w:rPr>
        <w:t>────────────────────────────────────────</w:t>
      </w:r>
    </w:p>
    <w:p>
      <w:pPr>
        <w:pStyle w:val="Heading2"/>
      </w:pPr>
      <w:r>
        <w:t>资金面</w:t>
      </w:r>
    </w:p>
    <w:p>
      <w:pPr>
        <w:pStyle w:val="Heading3"/>
      </w:pPr>
      <w:r>
        <w:t>今日资金流向（逐分钟统计，截至午间）</w:t>
      </w:r>
    </w:p>
    <w:p>
      <w:pPr>
        <w:pStyle w:val="ListBullet"/>
      </w:pPr>
      <w:r>
        <w:t>**净流向**：**净流入 3.15亿元**</w:t>
      </w:r>
    </w:p>
    <w:p>
      <w:pPr>
        <w:pStyle w:val="ListBullet"/>
      </w:pPr>
      <w:r>
        <w:t>资金流入分钟数：127分钟 / 流出：113分钟</w:t>
      </w:r>
    </w:p>
    <w:p>
      <w:pPr>
        <w:pStyle w:val="ListBullet"/>
      </w:pPr>
      <w:r>
        <w:t>最大单分钟流入：**6,806.5万元**</w:t>
      </w:r>
    </w:p>
    <w:p>
      <w:pPr>
        <w:pStyle w:val="ListBullet"/>
      </w:pPr>
      <w:r>
        <w:t>最大单分钟流出：3,618.2万元</w:t>
      </w:r>
    </w:p>
    <w:p>
      <w:pPr>
        <w:pStyle w:val="Heading3"/>
      </w:pPr>
      <w:r>
        <w:t>上一交易日资金细分</w:t>
      </w:r>
    </w:p>
    <w:p>
      <w:pPr>
        <w:spacing w:before="40" w:after="40"/>
      </w:pPr>
      <w:r>
        <w:t>| 类型 | 净额 | 买入 | 卖出 |</w:t>
      </w:r>
    </w:p>
    <w:p>
      <w:pPr>
        <w:spacing w:before="40" w:after="40"/>
      </w:pPr>
      <w:r>
        <w:t xml:space="preserve">| 大单 | </w:t>
      </w:r>
      <w:r>
        <w:rPr>
          <w:b/>
        </w:rPr>
        <w:t>+1.33亿</w:t>
      </w:r>
      <w:r>
        <w:t xml:space="preserve"> | 2.56亿 | 1.23亿 |</w:t>
      </w:r>
    </w:p>
    <w:p>
      <w:pPr>
        <w:spacing w:before="40" w:after="40"/>
      </w:pPr>
      <w:r>
        <w:t xml:space="preserve">| 中单 | </w:t>
      </w:r>
      <w:r>
        <w:rPr>
          <w:b/>
        </w:rPr>
        <w:t>+1.64亿</w:t>
      </w:r>
      <w:r>
        <w:t xml:space="preserve"> | 9.18亿 | 7.54亿 |</w:t>
      </w:r>
    </w:p>
    <w:p>
      <w:pPr>
        <w:spacing w:before="40" w:after="40"/>
      </w:pPr>
      <w:r>
        <w:t xml:space="preserve">| 小单 | </w:t>
      </w:r>
      <w:r>
        <w:rPr>
          <w:b/>
        </w:rPr>
        <w:t>+0.18亿</w:t>
      </w:r>
      <w:r>
        <w:t xml:space="preserve"> | 5.75亿 | 5.57亿 |</w:t>
      </w:r>
    </w:p>
    <w:p>
      <w:pPr>
        <w:spacing w:before="40" w:after="40"/>
      </w:pPr>
      <w:r>
        <w:t xml:space="preserve">| </w:t>
      </w:r>
      <w:r>
        <w:rPr>
          <w:b/>
        </w:rPr>
        <w:t>合计</w:t>
      </w:r>
      <w:r>
        <w:t xml:space="preserve"> | </w:t>
      </w:r>
      <w:r>
        <w:rPr>
          <w:b/>
        </w:rPr>
        <w:t>+3.15亿</w:t>
      </w:r>
      <w:r>
        <w:t xml:space="preserve"> | — | — |</w:t>
      </w:r>
    </w:p>
    <w:p>
      <w:r>
        <w:t xml:space="preserve">大单与中单均呈净流入状态，且大单净额占比约 </w:t>
      </w:r>
      <w:r>
        <w:rPr>
          <w:b/>
        </w:rPr>
        <w:t>42%</w:t>
      </w:r>
      <w:r>
        <w:t>，显示主力资金在今日市场大跌中主动买入比亚迪。</w:t>
      </w:r>
    </w:p>
    <w:p>
      <w:pPr>
        <w:pStyle w:val="Heading3"/>
      </w:pPr>
      <w:r>
        <w:t>融资融券（上一交易日）</w:t>
      </w:r>
    </w:p>
    <w:p>
      <w:pPr>
        <w:pStyle w:val="ListBullet"/>
      </w:pPr>
      <w:r>
        <w:t>融资余额：**126.63亿元**（较前日 **-0.15%**）</w:t>
      </w:r>
    </w:p>
    <w:p>
      <w:pPr>
        <w:pStyle w:val="ListBullet"/>
      </w:pPr>
      <w:r>
        <w:t>融券余额：**0.43亿元**（较前日 **+2.80%**）</w:t>
      </w:r>
    </w:p>
    <w:p>
      <w:r>
        <w:t>融资余额略有下降，融券余额小幅增加，但绝对值极低，做空力量有限。</w:t>
      </w:r>
    </w:p>
    <w:p>
      <w:pPr>
        <w:spacing w:before="120" w:after="120"/>
      </w:pPr>
      <w:r>
        <w:rPr>
          <w:color w:val="B4B4B4"/>
          <w:sz w:val="16"/>
        </w:rPr>
        <w:t>────────────────────────────────────────</w:t>
      </w:r>
    </w:p>
    <w:p>
      <w:pPr>
        <w:pStyle w:val="Heading2"/>
      </w:pPr>
      <w:r>
        <w:t>技术面</w:t>
      </w:r>
    </w:p>
    <w:p>
      <w:pPr>
        <w:spacing w:before="40" w:after="40"/>
      </w:pPr>
      <w:r>
        <w:t>| 指标 | 位置 | 偏离度 |</w:t>
      </w:r>
    </w:p>
    <w:p>
      <w:pPr>
        <w:spacing w:before="40" w:after="40"/>
      </w:pPr>
      <w:r>
        <w:t xml:space="preserve">| MA5（92.47元） | 上方 | </w:t>
      </w:r>
      <w:r>
        <w:rPr>
          <w:b/>
        </w:rPr>
        <w:t>+1.6%</w:t>
      </w:r>
      <w:r>
        <w:t xml:space="preserve"> |</w:t>
      </w:r>
    </w:p>
    <w:p>
      <w:pPr>
        <w:spacing w:before="40" w:after="40"/>
      </w:pPr>
      <w:r>
        <w:t xml:space="preserve">| MA10（91.38元） | 上方 | </w:t>
      </w:r>
      <w:r>
        <w:rPr>
          <w:b/>
        </w:rPr>
        <w:t>+2.8%</w:t>
      </w:r>
      <w:r>
        <w:t xml:space="preserve"> |</w:t>
      </w:r>
    </w:p>
    <w:p>
      <w:pPr>
        <w:spacing w:before="40" w:after="40"/>
      </w:pPr>
      <w:r>
        <w:t xml:space="preserve">| MA20 / 布林中轨（87.63元） | 上方 | </w:t>
      </w:r>
      <w:r>
        <w:rPr>
          <w:b/>
        </w:rPr>
        <w:t>+7.2%</w:t>
      </w:r>
      <w:r>
        <w:t xml:space="preserve"> |</w:t>
      </w:r>
    </w:p>
    <w:p>
      <w:pPr>
        <w:spacing w:before="40" w:after="40"/>
      </w:pPr>
      <w:r>
        <w:t xml:space="preserve">| 布林带上轨（97.19元） | 下方 | </w:t>
      </w:r>
      <w:r>
        <w:rPr>
          <w:b/>
        </w:rPr>
        <w:t>距上轨3.4%</w:t>
      </w:r>
      <w:r>
        <w:t xml:space="preserve"> |</w:t>
      </w:r>
    </w:p>
    <w:p>
      <w:pPr>
        <w:spacing w:before="40" w:after="40"/>
      </w:pPr>
      <w:r>
        <w:t>| 布林带下轨（78.07元） | 上方 | — |</w:t>
      </w:r>
    </w:p>
    <w:p>
      <w:pPr>
        <w:pStyle w:val="ListBullet"/>
      </w:pPr>
      <w:r>
        <w:t>**均线系统呈多头排列**：当前价格站稳MA5、MA10、MA20上方，短期趋势偏强。</w:t>
      </w:r>
    </w:p>
    <w:p>
      <w:pPr>
        <w:pStyle w:val="ListBullet"/>
      </w:pPr>
      <w:r>
        <w:t>**布林带分析**：股价位于中轨（87.63元）与上轨（97.19元）之间偏上位置，距上轨仅 **3.4%** 空间，短期面临上轨压力。</w:t>
      </w:r>
    </w:p>
    <w:p>
      <w:pPr>
        <w:pStyle w:val="ListBullet"/>
      </w:pPr>
      <w:r>
        <w:t>**技术信号**：今日早盘冲高至95.28元后回落，显示上轨附近存在一定卖压。若后续能放量突破 **97元** 关口，则有望打开上行空间；若受阻回落，MA5（92.47元）为第一支撑位。</w:t>
      </w:r>
    </w:p>
    <w:p>
      <w:pPr>
        <w:spacing w:before="120" w:after="120"/>
      </w:pPr>
      <w:r>
        <w:rPr>
          <w:color w:val="B4B4B4"/>
          <w:sz w:val="16"/>
        </w:rPr>
        <w:t>────────────────────────────────────────</w:t>
      </w:r>
    </w:p>
    <w:p>
      <w:pPr>
        <w:pStyle w:val="Heading2"/>
      </w:pPr>
      <w:r>
        <w:t>新闻资讯</w:t>
      </w:r>
    </w:p>
    <w:p>
      <w:pPr>
        <w:pStyle w:val="Heading3"/>
      </w:pPr>
      <w:r>
        <w:t>核心催化事件</w:t>
      </w:r>
    </w:p>
    <w:p>
      <w:r>
        <w:rPr>
          <w:b/>
        </w:rPr>
        <w:t>1. 人形机器人8月初亮相（最大催化剂）</w:t>
      </w:r>
    </w:p>
    <w:p>
      <w:r>
        <w:t>比亚迪官方回应称，计划八月在"迪空间"亮相发布人形机器人。消息面显示，机器人目标先在4S店做销售，</w:t>
      </w:r>
      <w:r>
        <w:rPr>
          <w:b/>
        </w:rPr>
        <w:t>一两年内实现商业落地</w:t>
      </w:r>
      <w:r>
        <w:t xml:space="preserve">。该消息带动机器人概念板块有所表现，华达科技、明新旭腾等涨停。虽然今日机器人概念板块整体下跌 </w:t>
      </w:r>
      <w:r>
        <w:rPr>
          <w:b/>
        </w:rPr>
        <w:t>-1.12%</w:t>
      </w:r>
      <w:r>
        <w:t>，但比亚迪作为新入局者，市场关注度极高。</w:t>
      </w:r>
    </w:p>
    <w:p>
      <w:r>
        <w:rPr>
          <w:b/>
        </w:rPr>
        <w:t>2. 长鑫科技上市带来的投资收益</w:t>
      </w:r>
    </w:p>
    <w:p>
      <w:r>
        <w:t xml:space="preserve">比亚迪董秘透露，六年前比亚迪以 </w:t>
      </w:r>
      <w:r>
        <w:rPr>
          <w:b/>
        </w:rPr>
        <w:t>198亿元投前估值</w:t>
      </w:r>
      <w:r>
        <w:t xml:space="preserve">参与了长鑫科技首轮融资。长鑫科技今日上市首日暴涨 </w:t>
      </w:r>
      <w:r>
        <w:rPr>
          <w:b/>
        </w:rPr>
        <w:t>465.82%</w:t>
      </w:r>
      <w:r>
        <w:t xml:space="preserve">，总市值达 </w:t>
      </w:r>
      <w:r>
        <w:rPr>
          <w:b/>
        </w:rPr>
        <w:t>3.28万亿元</w:t>
      </w:r>
      <w:r>
        <w:t xml:space="preserve">，超越工商银行成为A股市值"一哥"，成交额超 </w:t>
      </w:r>
      <w:r>
        <w:rPr>
          <w:b/>
        </w:rPr>
        <w:t>1,400亿元</w:t>
      </w:r>
      <w:r>
        <w:t>，创A股单日成交纪录。参照198亿投前估值及3.28万亿最新市值，比亚迪在该项目上的</w:t>
      </w:r>
      <w:r>
        <w:rPr>
          <w:b/>
        </w:rPr>
        <w:t>潜在投资收益极为可观</w:t>
      </w:r>
      <w:r>
        <w:t>，将为公司带来巨额的长期股权投资增值。</w:t>
      </w:r>
    </w:p>
    <w:p>
      <w:r>
        <w:rPr>
          <w:b/>
        </w:rPr>
        <w:t>3. 日本特供车RACCO上市</w:t>
      </w:r>
    </w:p>
    <w:p>
      <w:r>
        <w:t xml:space="preserve">比亚迪首款日本特供微型电动车RACCO正式上市，补贴后售价低于 </w:t>
      </w:r>
      <w:r>
        <w:rPr>
          <w:b/>
        </w:rPr>
        <w:t>200万日元</w:t>
      </w:r>
      <w:r>
        <w:t>，并邀请当红女星代言，展现其"决心相当大"的出海战略。这标志着比亚迪在日本市场的本土化布局迈出关键一步。</w:t>
      </w:r>
    </w:p>
    <w:p>
      <w:r>
        <w:rPr>
          <w:b/>
        </w:rPr>
        <w:t>4. 电池多技术路线布局</w:t>
      </w:r>
    </w:p>
    <w:p>
      <w:r>
        <w:t>针对投资者关于钠电储能的建议，公司回应称对电池多技术路线均有布局，显示其在固态电池、钠离子电池等下一代技术上的前瞻布局。</w:t>
      </w:r>
    </w:p>
    <w:p>
      <w:pPr>
        <w:pStyle w:val="Heading3"/>
      </w:pPr>
      <w:r>
        <w:t>利空扰动</w:t>
      </w:r>
    </w:p>
    <w:p>
      <w:pPr>
        <w:pStyle w:val="ListBullet"/>
      </w:pPr>
      <w:r>
        <w:t>美股半导体板块持续大跌：费城半导体指数跌超2%，英伟达跌约5%，SK海力士跌破发行价。全球AI算力需求担忧情绪蔓延。</w:t>
      </w:r>
    </w:p>
    <w:p>
      <w:pPr>
        <w:pStyle w:val="ListBullet"/>
      </w:pPr>
      <w:r>
        <w:t>创业板指今日跌超6%，系统性风险上升。</w:t>
      </w:r>
    </w:p>
    <w:p>
      <w:pPr>
        <w:pStyle w:val="ListBullet"/>
      </w:pPr>
      <w:r>
        <w:t>新能源汽车板块整体跌幅 **-4.11%**，比亚迪逆势上涨显得尤为突出。</w:t>
      </w:r>
    </w:p>
    <w:p>
      <w:pPr>
        <w:spacing w:before="120" w:after="120"/>
      </w:pPr>
      <w:r>
        <w:rPr>
          <w:color w:val="B4B4B4"/>
          <w:sz w:val="16"/>
        </w:rPr>
        <w:t>────────────────────────────────────────</w:t>
      </w:r>
    </w:p>
    <w:p>
      <w:pPr>
        <w:pStyle w:val="Heading2"/>
      </w:pPr>
      <w:r>
        <w:t>板块关联</w:t>
      </w:r>
    </w:p>
    <w:p>
      <w:pPr>
        <w:spacing w:before="40" w:after="40"/>
      </w:pPr>
      <w:r>
        <w:t>| 板块 | 涨跌幅 | 排名/总数 | 板块内比亚迪排名 |</w:t>
      </w:r>
    </w:p>
    <w:p>
      <w:pPr>
        <w:spacing w:before="40" w:after="40"/>
      </w:pPr>
      <w:r>
        <w:t xml:space="preserve">| 汽车制造商(A股) | </w:t>
      </w:r>
      <w:r>
        <w:rPr>
          <w:b/>
        </w:rPr>
        <w:t>+1.03%</w:t>
      </w:r>
      <w:r>
        <w:t xml:space="preserve"> | 118/1158 | 18/26 |</w:t>
      </w:r>
    </w:p>
    <w:p>
      <w:pPr>
        <w:spacing w:before="40" w:after="40"/>
      </w:pPr>
      <w:r>
        <w:t xml:space="preserve">| 汽车(A股) | </w:t>
      </w:r>
      <w:r>
        <w:rPr>
          <w:b/>
        </w:rPr>
        <w:t>+0.94%</w:t>
      </w:r>
      <w:r>
        <w:t xml:space="preserve"> | 131/1158 | 20/30 |</w:t>
      </w:r>
    </w:p>
    <w:p>
      <w:pPr>
        <w:spacing w:before="40" w:after="40"/>
      </w:pPr>
      <w:r>
        <w:t xml:space="preserve">| 沪深300样本股 | </w:t>
      </w:r>
      <w:r>
        <w:rPr>
          <w:b/>
        </w:rPr>
        <w:t>+1.57%</w:t>
      </w:r>
      <w:r>
        <w:t xml:space="preserve"> | 75/1158 | 246/319 |</w:t>
      </w:r>
    </w:p>
    <w:p>
      <w:pPr>
        <w:spacing w:before="40" w:after="40"/>
      </w:pPr>
      <w:r>
        <w:t xml:space="preserve">| 新能源汽车 | </w:t>
      </w:r>
      <w:r>
        <w:rPr>
          <w:b/>
        </w:rPr>
        <w:t>-4.11%</w:t>
      </w:r>
      <w:r>
        <w:t xml:space="preserve"> | 957/1158 | 160/998 |</w:t>
      </w:r>
    </w:p>
    <w:p>
      <w:pPr>
        <w:spacing w:before="40" w:after="40"/>
      </w:pPr>
      <w:r>
        <w:t xml:space="preserve">| 充电桩 | </w:t>
      </w:r>
      <w:r>
        <w:rPr>
          <w:b/>
        </w:rPr>
        <w:t>-2.66%</w:t>
      </w:r>
      <w:r>
        <w:t xml:space="preserve"> | 760/1158 | 97/373 |</w:t>
      </w:r>
    </w:p>
    <w:p>
      <w:pPr>
        <w:spacing w:before="40" w:after="40"/>
      </w:pPr>
      <w:r>
        <w:t xml:space="preserve">| 汽车与汽车零部件 | </w:t>
      </w:r>
      <w:r>
        <w:rPr>
          <w:b/>
        </w:rPr>
        <w:t>-2.71%</w:t>
      </w:r>
      <w:r>
        <w:t xml:space="preserve"> | 772/1158 | 55/257 |</w:t>
      </w:r>
    </w:p>
    <w:p>
      <w:r>
        <w:t>比亚迪所在的核心归属板块——</w:t>
      </w:r>
      <w:r>
        <w:rPr>
          <w:b/>
        </w:rPr>
        <w:t>汽车制造商(A股)和汽车(A股)</w:t>
      </w:r>
      <w:r>
        <w:t xml:space="preserve"> 分别录得 </w:t>
      </w:r>
      <w:r>
        <w:rPr>
          <w:b/>
        </w:rPr>
        <w:t>+1.03%</w:t>
      </w:r>
      <w:r>
        <w:t xml:space="preserve"> 和 </w:t>
      </w:r>
      <w:r>
        <w:rPr>
          <w:b/>
        </w:rPr>
        <w:t>+0.94%</w:t>
      </w:r>
      <w:r>
        <w:t xml:space="preserve"> 的涨幅，在今日全市场大跌环境中表现亮眼，行业领涨标的包括宇通客车（+7.83%）、春风动力（+6.77%）、长城汽车（+4.47%）。</w:t>
      </w:r>
    </w:p>
    <w:p>
      <w:pPr>
        <w:spacing w:before="120" w:after="120"/>
      </w:pPr>
      <w:r>
        <w:rPr>
          <w:color w:val="B4B4B4"/>
          <w:sz w:val="16"/>
        </w:rPr>
        <w:t>────────────────────────────────────────</w:t>
      </w:r>
    </w:p>
    <w:p>
      <w:pPr>
        <w:pStyle w:val="Heading2"/>
      </w:pPr>
      <w:r>
        <w:t>综合研判</w:t>
      </w:r>
    </w:p>
    <w:p>
      <w:r>
        <w:t xml:space="preserve">今日比亚迪呈现 </w:t>
      </w:r>
      <w:r>
        <w:rPr>
          <w:b/>
        </w:rPr>
        <w:t>"逆市抗跌、资金净流入、多条均线上方"</w:t>
      </w:r>
      <w:r>
        <w:t xml:space="preserve"> 的强势特征，主要逻辑如下：</w:t>
      </w:r>
    </w:p>
    <w:p>
      <w:pPr>
        <w:pStyle w:val="ListNumber"/>
      </w:pPr>
      <w:r>
        <w:t>**人形机器人概念催化**：8月亮相的时间节点临近，叠加"一两年内商业落地"的明确规划，为比亚迪开辟了"汽车+机器人"的第二增长曲线预期，提升了估值想象空间。</w:t>
      </w:r>
    </w:p>
    <w:p>
      <w:pPr>
        <w:pStyle w:val="ListNumber"/>
      </w:pPr>
      <w:r>
        <w:t>**长鑫科技投资收益**：作为早期投资人，长鑫科技上市后的惊人表现将为比亚迪带来显著的投资收益确认预期，对利润表构成潜在正面冲击。</w:t>
      </w:r>
    </w:p>
    <w:p>
      <w:pPr>
        <w:pStyle w:val="ListNumber"/>
      </w:pPr>
      <w:r>
        <w:t>**出海战略推进**：日本特供车RACCO上市，展现全球化布局决心，中长期利好。</w:t>
      </w:r>
    </w:p>
    <w:p>
      <w:pPr>
        <w:pStyle w:val="ListNumber"/>
      </w:pPr>
      <w:r>
        <w:t>**资金面偏积极**：今日净流入3.15亿元，大单与中单齐发力，在系统性风险上升环境中显示出较强的避险资金偏好。</w:t>
      </w:r>
    </w:p>
    <w:p>
      <w:pPr>
        <w:pStyle w:val="ListNumber"/>
      </w:pPr>
      <w:r>
        <w:t>**技术上处于多头排列**：但接近布林上轨（97.19元），短期需关注能否放量突破打开上行空间。</w:t>
      </w:r>
    </w:p>
    <w:p>
      <w:r>
        <w:rPr>
          <w:b/>
        </w:rPr>
        <w:t>风险提示</w:t>
      </w:r>
      <w:r>
        <w:t>：全球半导体板块持续暴跌可能压制市场整体风险偏好；创业板指大跌超6%的系统性风险不可忽视；布林上轨附近存在技术性压力；量比0.79显示今日属于缩量反弹，上攻动能需进一步确认。</w:t>
      </w:r>
    </w:p>
    <w:p>
      <w:r>
        <w:t xml:space="preserve">&gt; </w:t>
      </w:r>
      <w:r>
        <w:rPr>
          <w:b/>
        </w:rPr>
        <w:t>投资有风险，入市需谨慎。以上分析仅基于公开数据，不构成投资建议。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