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pBdr>
          <w:bottom w:val="single" w:sz="4" w:space="1" w:color="D0D7DE"/>
        </w:pBdr>
      </w:pPr>
    </w:p>
    <w:p>
      <w:pPr>
        <w:spacing w:before="480" w:after="80" w:line="288" w:lineRule="auto"/>
        <w:pBdr>
          <w:bottom w:val="single" w:sz="4" w:space="4" w:color="D0D7DE"/>
        </w:pBdr>
      </w:pPr>
      <w:r>
        <w:rPr>
          <w:rFonts w:ascii="Microsoft YaHei" w:hAnsi="Microsoft YaHei"/>
          <w:b/>
          <w:color w:val="1A1A1A"/>
          <w:sz w:val="36"/>
        </w:rPr>
        <w:t>海油工程（600583.SH）午间分析报告</w:t>
      </w:r>
    </w:p>
    <w:p>
      <w:r>
        <w:rPr>
          <w:rFonts w:ascii="Microsoft YaHei" w:hAnsi="Microsoft YaHei"/>
          <w:b/>
          <w:color w:val="1A1A1A"/>
        </w:rPr>
        <w:t>数据截至：2026年7月29日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今日全市场情绪高涨，市场热度达 </w:t>
      </w:r>
      <w:r>
        <w:rPr>
          <w:rFonts w:ascii="Microsoft YaHei" w:hAnsi="Microsoft YaHei"/>
          <w:b/>
          <w:color w:val="1A1A1A"/>
        </w:rPr>
        <w:t>56（高）</w:t>
      </w:r>
      <w:r>
        <w:rPr>
          <w:rFonts w:ascii="Microsoft YaHei" w:hAnsi="Microsoft YaHei"/>
        </w:rPr>
        <w:t xml:space="preserve">，成交额飙升至 </w:t>
      </w:r>
      <w:r>
        <w:rPr>
          <w:rFonts w:ascii="Microsoft YaHei" w:hAnsi="Microsoft YaHei"/>
          <w:b/>
          <w:color w:val="1A1A1A"/>
        </w:rPr>
        <w:t>1.46万亿（+1549亿）</w:t>
      </w:r>
      <w:r>
        <w:rPr>
          <w:rFonts w:ascii="Microsoft YaHei" w:hAnsi="Microsoft YaHei"/>
        </w:rPr>
        <w:t xml:space="preserve">，上涨家数 </w:t>
      </w:r>
      <w:r>
        <w:rPr>
          <w:rFonts w:ascii="Microsoft YaHei" w:hAnsi="Microsoft YaHei"/>
          <w:b/>
          <w:color w:val="1A1A1A"/>
        </w:rPr>
        <w:t>3404只</w:t>
      </w:r>
      <w:r>
        <w:rPr>
          <w:rFonts w:ascii="Microsoft YaHei" w:hAnsi="Microsoft YaHei"/>
        </w:rPr>
        <w:t xml:space="preserve">，占比约 </w:t>
      </w:r>
      <w:r>
        <w:rPr>
          <w:rFonts w:ascii="Microsoft YaHei" w:hAnsi="Microsoft YaHei"/>
          <w:b/>
          <w:color w:val="1A1A1A"/>
        </w:rPr>
        <w:t>79%</w:t>
      </w:r>
      <w:r>
        <w:rPr>
          <w:rFonts w:ascii="Microsoft YaHei" w:hAnsi="Microsoft YaHei"/>
        </w:rPr>
        <w:t xml:space="preserve">。赚钱效应为 </w:t>
      </w:r>
      <w:r>
        <w:rPr>
          <w:rFonts w:ascii="Microsoft YaHei" w:hAnsi="Microsoft YaHei"/>
          <w:b/>
          <w:color w:val="1A1A1A"/>
        </w:rPr>
        <w:t>46%</w:t>
      </w:r>
      <w:r>
        <w:rPr>
          <w:rFonts w:ascii="Microsoft YaHei" w:hAnsi="Microsoft YaHei"/>
        </w:rPr>
        <w:t>，涨停梯队中一板50只，高度板1只，整体市场人气较好。涨跌幅分布上，涨幅集中在 1%~2%，跌幅集中在 -4%~-1%，整体呈现普涨格局。</w:t>
      </w:r>
    </w:p>
    <w:p>
      <w:r>
        <w:rPr>
          <w:rFonts w:ascii="Microsoft YaHei" w:hAnsi="Microsoft YaHei"/>
        </w:rPr>
        <w:t>能源板块成为今日领涨主线之一，</w:t>
      </w:r>
      <w:r>
        <w:rPr>
          <w:rFonts w:ascii="Microsoft YaHei" w:hAnsi="Microsoft YaHei"/>
          <w:b/>
          <w:color w:val="1A1A1A"/>
        </w:rPr>
        <w:t>能源(A股)板块上涨 +2.62%</w:t>
      </w:r>
      <w:r>
        <w:rPr>
          <w:rFonts w:ascii="Microsoft YaHei" w:hAnsi="Microsoft YaHei"/>
        </w:rPr>
        <w:t>，在全市场1158个概念/行业板块中排名第39位，带动海油工程等能源服务类个股强势上攻。</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b/>
                <w:color w:val="1A1A1A"/>
                <w:sz w:val="18"/>
              </w:rPr>
              <w:t>午盘收盘价</w:t>
            </w:r>
          </w:p>
        </w:tc>
        <w:tc>
          <w:tcPr>
            <w:tcW w:type="dxa" w:w="4533"/>
          </w:tcPr>
          <w:p>
            <w:pPr>
              <w:spacing w:before="40" w:after="40" w:line="288" w:lineRule="auto"/>
            </w:pPr>
            <w:r/>
            <w:r>
              <w:rPr>
                <w:rFonts w:ascii="Microsoft YaHei" w:hAnsi="Microsoft YaHei"/>
                <w:b/>
                <w:color w:val="1A1A1A"/>
                <w:sz w:val="18"/>
              </w:rPr>
              <w:t>5.59 元</w:t>
            </w:r>
          </w:p>
        </w:tc>
      </w:tr>
      <w:tr>
        <w:tc>
          <w:tcPr>
            <w:tcW w:type="dxa" w:w="4533"/>
            <w:shd w:fill="F8F9FA" w:val="clear"/>
          </w:tcPr>
          <w:p>
            <w:pPr>
              <w:spacing w:before="40" w:after="40" w:line="288" w:lineRule="auto"/>
            </w:pPr>
            <w:r/>
            <w:r>
              <w:rPr>
                <w:rFonts w:ascii="Microsoft YaHei" w:hAnsi="Microsoft YaHei"/>
                <w:b/>
                <w:color w:val="1A1A1A"/>
                <w:sz w:val="18"/>
              </w:rPr>
              <w:t>涨跌幅</w:t>
            </w:r>
          </w:p>
        </w:tc>
        <w:tc>
          <w:tcPr>
            <w:tcW w:type="dxa" w:w="4533"/>
            <w:shd w:fill="F8F9FA" w:val="clear"/>
          </w:tcPr>
          <w:p>
            <w:pPr>
              <w:spacing w:before="40" w:after="40" w:line="288" w:lineRule="auto"/>
            </w:pPr>
            <w:r/>
            <w:r>
              <w:rPr>
                <w:rFonts w:ascii="Microsoft YaHei" w:hAnsi="Microsoft YaHei"/>
                <w:b/>
                <w:color w:val="1A1A1A"/>
                <w:sz w:val="18"/>
              </w:rPr>
              <w:t>+4.88%</w:t>
            </w:r>
          </w:p>
        </w:tc>
      </w:tr>
      <w:tr>
        <w:tc>
          <w:tcPr>
            <w:tcW w:type="dxa" w:w="4533"/>
          </w:tcPr>
          <w:p>
            <w:pPr>
              <w:spacing w:before="40" w:after="40" w:line="288" w:lineRule="auto"/>
            </w:pPr>
            <w:r/>
            <w:r>
              <w:rPr>
                <w:rFonts w:ascii="Microsoft YaHei" w:hAnsi="Microsoft YaHei"/>
                <w:sz w:val="18"/>
              </w:rPr>
              <w:t>昨收 / 开盘</w:t>
            </w:r>
          </w:p>
        </w:tc>
        <w:tc>
          <w:tcPr>
            <w:tcW w:type="dxa" w:w="4533"/>
          </w:tcPr>
          <w:p>
            <w:pPr>
              <w:spacing w:before="40" w:after="40" w:line="288" w:lineRule="auto"/>
            </w:pPr>
            <w:r/>
            <w:r>
              <w:rPr>
                <w:rFonts w:ascii="Microsoft YaHei" w:hAnsi="Microsoft YaHei"/>
                <w:sz w:val="18"/>
              </w:rPr>
              <w:t>5.33 / 5.39</w:t>
            </w:r>
          </w:p>
        </w:tc>
      </w:tr>
      <w:tr>
        <w:tc>
          <w:tcPr>
            <w:tcW w:type="dxa" w:w="4533"/>
            <w:shd w:fill="F8F9FA" w:val="clear"/>
          </w:tcPr>
          <w:p>
            <w:pPr>
              <w:spacing w:before="40" w:after="40" w:line="288" w:lineRule="auto"/>
            </w:pPr>
            <w:r/>
            <w:r>
              <w:rPr>
                <w:rFonts w:ascii="Microsoft YaHei" w:hAnsi="Microsoft YaHei"/>
                <w:sz w:val="18"/>
              </w:rPr>
              <w:t>最高 / 最低</w:t>
            </w:r>
          </w:p>
        </w:tc>
        <w:tc>
          <w:tcPr>
            <w:tcW w:type="dxa" w:w="4533"/>
            <w:shd w:fill="F8F9FA" w:val="clear"/>
          </w:tcPr>
          <w:p>
            <w:pPr>
              <w:spacing w:before="40" w:after="40" w:line="288" w:lineRule="auto"/>
            </w:pPr>
            <w:r/>
            <w:r>
              <w:rPr>
                <w:rFonts w:ascii="Microsoft YaHei" w:hAnsi="Microsoft YaHei"/>
                <w:sz w:val="18"/>
              </w:rPr>
              <w:t>5.62 / 5.37</w:t>
            </w:r>
          </w:p>
        </w:tc>
      </w:tr>
      <w:tr>
        <w:tc>
          <w:tcPr>
            <w:tcW w:type="dxa" w:w="4533"/>
          </w:tcPr>
          <w:p>
            <w:pPr>
              <w:spacing w:before="40" w:after="40" w:line="288" w:lineRule="auto"/>
            </w:pPr>
            <w:r/>
            <w:r>
              <w:rPr>
                <w:rFonts w:ascii="Microsoft YaHei" w:hAnsi="Microsoft YaHei"/>
                <w:sz w:val="18"/>
              </w:rPr>
              <w:t>成交额</w:t>
            </w:r>
          </w:p>
        </w:tc>
        <w:tc>
          <w:tcPr>
            <w:tcW w:type="dxa" w:w="4533"/>
          </w:tcPr>
          <w:p>
            <w:pPr>
              <w:spacing w:before="40" w:after="40" w:line="288" w:lineRule="auto"/>
            </w:pPr>
            <w:r/>
            <w:r>
              <w:rPr>
                <w:rFonts w:ascii="Microsoft YaHei" w:hAnsi="Microsoft YaHei"/>
                <w:b/>
                <w:color w:val="1A1A1A"/>
                <w:sz w:val="18"/>
              </w:rPr>
              <w:t>4.76 亿元</w:t>
            </w:r>
          </w:p>
        </w:tc>
      </w:tr>
      <w:tr>
        <w:tc>
          <w:tcPr>
            <w:tcW w:type="dxa" w:w="4533"/>
            <w:shd w:fill="F8F9FA" w:val="clear"/>
          </w:tcPr>
          <w:p>
            <w:pPr>
              <w:spacing w:before="40" w:after="40" w:line="288" w:lineRule="auto"/>
            </w:pPr>
            <w:r/>
            <w:r>
              <w:rPr>
                <w:rFonts w:ascii="Microsoft YaHei" w:hAnsi="Microsoft YaHei"/>
                <w:sz w:val="18"/>
              </w:rPr>
              <w:t>换手率</w:t>
            </w:r>
          </w:p>
        </w:tc>
        <w:tc>
          <w:tcPr>
            <w:tcW w:type="dxa" w:w="4533"/>
            <w:shd w:fill="F8F9FA" w:val="clear"/>
          </w:tcPr>
          <w:p>
            <w:pPr>
              <w:spacing w:before="40" w:after="40" w:line="288" w:lineRule="auto"/>
            </w:pPr>
            <w:r/>
            <w:r>
              <w:rPr>
                <w:rFonts w:ascii="Microsoft YaHei" w:hAnsi="Microsoft YaHei"/>
                <w:b/>
                <w:color w:val="1A1A1A"/>
                <w:sz w:val="18"/>
              </w:rPr>
              <w:t>1.94%</w:t>
            </w:r>
          </w:p>
        </w:tc>
      </w:tr>
      <w:tr>
        <w:tc>
          <w:tcPr>
            <w:tcW w:type="dxa" w:w="4533"/>
          </w:tcPr>
          <w:p>
            <w:pPr>
              <w:spacing w:before="40" w:after="40" w:line="288" w:lineRule="auto"/>
            </w:pPr>
            <w:r/>
            <w:r>
              <w:rPr>
                <w:rFonts w:ascii="Microsoft YaHei" w:hAnsi="Microsoft YaHei"/>
                <w:sz w:val="18"/>
              </w:rPr>
              <w:t>量比</w:t>
            </w:r>
          </w:p>
        </w:tc>
        <w:tc>
          <w:tcPr>
            <w:tcW w:type="dxa" w:w="4533"/>
          </w:tcPr>
          <w:p>
            <w:pPr>
              <w:spacing w:before="40" w:after="40" w:line="288" w:lineRule="auto"/>
            </w:pPr>
            <w:r/>
            <w:r>
              <w:rPr>
                <w:rFonts w:ascii="Microsoft YaHei" w:hAnsi="Microsoft YaHei"/>
                <w:b/>
                <w:color w:val="1A1A1A"/>
                <w:sz w:val="18"/>
              </w:rPr>
              <w:t>1.81</w:t>
            </w:r>
          </w:p>
        </w:tc>
      </w:tr>
      <w:tr>
        <w:tc>
          <w:tcPr>
            <w:tcW w:type="dxa" w:w="4533"/>
            <w:shd w:fill="F8F9FA" w:val="clear"/>
          </w:tcPr>
          <w:p>
            <w:pPr>
              <w:spacing w:before="40" w:after="40" w:line="288" w:lineRule="auto"/>
            </w:pPr>
            <w:r/>
            <w:r>
              <w:rPr>
                <w:rFonts w:ascii="Microsoft YaHei" w:hAnsi="Microsoft YaHei"/>
                <w:sz w:val="18"/>
              </w:rPr>
              <w:t>动态市盈率</w:t>
            </w:r>
          </w:p>
        </w:tc>
        <w:tc>
          <w:tcPr>
            <w:tcW w:type="dxa" w:w="4533"/>
            <w:shd w:fill="F8F9FA" w:val="clear"/>
          </w:tcPr>
          <w:p>
            <w:pPr>
              <w:spacing w:before="40" w:after="40" w:line="288" w:lineRule="auto"/>
            </w:pPr>
            <w:r/>
            <w:r>
              <w:rPr>
                <w:rFonts w:ascii="Microsoft YaHei" w:hAnsi="Microsoft YaHei"/>
                <w:sz w:val="18"/>
              </w:rPr>
              <w:t>14.09 倍</w:t>
            </w:r>
          </w:p>
        </w:tc>
      </w:tr>
      <w:tr>
        <w:tc>
          <w:tcPr>
            <w:tcW w:type="dxa" w:w="4533"/>
          </w:tcPr>
          <w:p>
            <w:pPr>
              <w:spacing w:before="40" w:after="40" w:line="288" w:lineRule="auto"/>
            </w:pPr>
            <w:r/>
            <w:r>
              <w:rPr>
                <w:rFonts w:ascii="Microsoft YaHei" w:hAnsi="Microsoft YaHei"/>
                <w:sz w:val="18"/>
              </w:rPr>
              <w:t>市净率</w:t>
            </w:r>
          </w:p>
        </w:tc>
        <w:tc>
          <w:tcPr>
            <w:tcW w:type="dxa" w:w="4533"/>
          </w:tcPr>
          <w:p>
            <w:pPr>
              <w:spacing w:before="40" w:after="40" w:line="288" w:lineRule="auto"/>
            </w:pPr>
            <w:r/>
            <w:r>
              <w:rPr>
                <w:rFonts w:ascii="Microsoft YaHei" w:hAnsi="Microsoft YaHei"/>
                <w:b/>
                <w:color w:val="1A1A1A"/>
                <w:sz w:val="18"/>
              </w:rPr>
              <w:t>0.85 倍</w:t>
            </w:r>
          </w:p>
        </w:tc>
      </w:tr>
      <w:tr>
        <w:tc>
          <w:tcPr>
            <w:tcW w:type="dxa" w:w="4533"/>
            <w:shd w:fill="F8F9FA" w:val="clear"/>
          </w:tcPr>
          <w:p>
            <w:pPr>
              <w:spacing w:before="40" w:after="40" w:line="288" w:lineRule="auto"/>
            </w:pPr>
            <w:r/>
            <w:r>
              <w:rPr>
                <w:rFonts w:ascii="Microsoft YaHei" w:hAnsi="Microsoft YaHei"/>
                <w:sz w:val="18"/>
              </w:rPr>
              <w:t>总市值</w:t>
            </w:r>
          </w:p>
        </w:tc>
        <w:tc>
          <w:tcPr>
            <w:tcW w:type="dxa" w:w="4533"/>
            <w:shd w:fill="F8F9FA" w:val="clear"/>
          </w:tcPr>
          <w:p>
            <w:pPr>
              <w:spacing w:before="40" w:after="40" w:line="288" w:lineRule="auto"/>
            </w:pPr>
            <w:r/>
            <w:r>
              <w:rPr>
                <w:rFonts w:ascii="Microsoft YaHei" w:hAnsi="Microsoft YaHei"/>
                <w:sz w:val="18"/>
              </w:rPr>
              <w:t>247.15 亿元</w:t>
            </w:r>
          </w:p>
        </w:tc>
      </w:tr>
    </w:tbl>
    <w:p/>
    <w:p>
      <w:r>
        <w:rPr>
          <w:rFonts w:ascii="Microsoft YaHei" w:hAnsi="Microsoft YaHei"/>
          <w:b/>
          <w:color w:val="1A1A1A"/>
        </w:rPr>
        <w:t>核心看点：</w:t>
      </w:r>
    </w:p>
    <w:p>
      <w:pPr>
        <w:pStyle w:val="ListBullet"/>
      </w:pPr>
      <w:r>
        <w:rPr>
          <w:rFonts w:ascii="Microsoft YaHei" w:hAnsi="Microsoft YaHei"/>
          <w:b/>
          <w:color w:val="1A1A1A"/>
        </w:rPr>
        <w:t>放量上攻</w:t>
      </w:r>
      <w:r>
        <w:rPr>
          <w:rFonts w:ascii="Microsoft YaHei" w:hAnsi="Microsoft YaHei"/>
        </w:rPr>
        <w:t xml:space="preserve">：今日半日换手率 </w:t>
      </w:r>
      <w:r>
        <w:rPr>
          <w:rFonts w:ascii="Microsoft YaHei" w:hAnsi="Microsoft YaHei"/>
          <w:b/>
          <w:color w:val="1A1A1A"/>
        </w:rPr>
        <w:t>1.94%</w:t>
      </w:r>
      <w:r>
        <w:rPr>
          <w:rFonts w:ascii="Microsoft YaHei" w:hAnsi="Microsoft YaHei"/>
        </w:rPr>
        <w:t xml:space="preserve">，是上一个交易日全日换手率 </w:t>
      </w:r>
      <w:r>
        <w:rPr>
          <w:rFonts w:ascii="Microsoft YaHei" w:hAnsi="Microsoft YaHei"/>
          <w:b/>
          <w:color w:val="1A1A1A"/>
        </w:rPr>
        <w:t>0.7647%</w:t>
      </w:r>
      <w:r>
        <w:rPr>
          <w:rFonts w:ascii="Microsoft YaHei" w:hAnsi="Microsoft YaHei"/>
        </w:rPr>
        <w:t xml:space="preserve"> 的 </w:t>
      </w:r>
      <w:r>
        <w:rPr>
          <w:rFonts w:ascii="Microsoft YaHei" w:hAnsi="Microsoft YaHei"/>
          <w:b/>
          <w:color w:val="1A1A1A"/>
        </w:rPr>
        <w:t>2.54倍</w:t>
      </w:r>
      <w:r>
        <w:rPr>
          <w:rFonts w:ascii="Microsoft YaHei" w:hAnsi="Microsoft YaHei"/>
        </w:rPr>
        <w:t>，呈现显著放量突破态势。</w:t>
      </w:r>
    </w:p>
    <w:p>
      <w:pPr>
        <w:pStyle w:val="ListBullet"/>
      </w:pPr>
      <w:r>
        <w:rPr>
          <w:rFonts w:ascii="Microsoft YaHei" w:hAnsi="Microsoft YaHei"/>
          <w:b/>
          <w:color w:val="1A1A1A"/>
        </w:rPr>
        <w:t>估值低位</w:t>
      </w:r>
      <w:r>
        <w:rPr>
          <w:rFonts w:ascii="Microsoft YaHei" w:hAnsi="Microsoft YaHei"/>
        </w:rPr>
        <w:t xml:space="preserve">：市净率 </w:t>
      </w:r>
      <w:r>
        <w:rPr>
          <w:rFonts w:ascii="Microsoft YaHei" w:hAnsi="Microsoft YaHei"/>
          <w:b/>
          <w:color w:val="1A1A1A"/>
        </w:rPr>
        <w:t>0.85倍</w:t>
      </w:r>
      <w:r>
        <w:rPr>
          <w:rFonts w:ascii="Microsoft YaHei" w:hAnsi="Microsoft YaHei"/>
        </w:rPr>
        <w:t xml:space="preserve">，仍处于破净状态，动态PE仅 </w:t>
      </w:r>
      <w:r>
        <w:rPr>
          <w:rFonts w:ascii="Microsoft YaHei" w:hAnsi="Microsoft YaHei"/>
          <w:b/>
          <w:color w:val="1A1A1A"/>
        </w:rPr>
        <w:t>14.09倍</w:t>
      </w:r>
      <w:r>
        <w:rPr>
          <w:rFonts w:ascii="Microsoft YaHei" w:hAnsi="Microsoft YaHei"/>
        </w:rPr>
        <w:t>，具备安全边际。</w:t>
      </w:r>
    </w:p>
    <w:p>
      <w:pPr>
        <w:pStyle w:val="ListBullet"/>
      </w:pPr>
      <w:r>
        <w:rPr>
          <w:rFonts w:ascii="Microsoft YaHei" w:hAnsi="Microsoft YaHei"/>
          <w:b/>
          <w:color w:val="1A1A1A"/>
        </w:rPr>
        <w:t>外盘&gt;内盘</w:t>
      </w:r>
      <w:r>
        <w:rPr>
          <w:rFonts w:ascii="Microsoft YaHei" w:hAnsi="Microsoft YaHei"/>
        </w:rPr>
        <w:t xml:space="preserve">：外盘 </w:t>
      </w:r>
      <w:r>
        <w:rPr>
          <w:rFonts w:ascii="Microsoft YaHei" w:hAnsi="Microsoft YaHei"/>
          <w:b/>
          <w:color w:val="1A1A1A"/>
        </w:rPr>
        <w:t>48.37万手</w:t>
      </w:r>
      <w:r>
        <w:rPr>
          <w:rFonts w:ascii="Microsoft YaHei" w:hAnsi="Microsoft YaHei"/>
        </w:rPr>
        <w:t xml:space="preserve"> 显著高于内盘 </w:t>
      </w:r>
      <w:r>
        <w:rPr>
          <w:rFonts w:ascii="Microsoft YaHei" w:hAnsi="Microsoft YaHei"/>
          <w:b/>
          <w:color w:val="1A1A1A"/>
        </w:rPr>
        <w:t>37.58万手</w:t>
      </w:r>
      <w:r>
        <w:rPr>
          <w:rFonts w:ascii="Microsoft YaHei" w:hAnsi="Microsoft YaHei"/>
        </w:rPr>
        <w:t>，主动性买盘占据主导，买盘意愿强烈。</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实时资金流向（逐分钟统计）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项目</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b/>
                <w:color w:val="1A1A1A"/>
                <w:sz w:val="18"/>
              </w:rPr>
              <w:t>净流向</w:t>
            </w:r>
          </w:p>
        </w:tc>
        <w:tc>
          <w:tcPr>
            <w:tcW w:type="dxa" w:w="4533"/>
          </w:tcPr>
          <w:p>
            <w:pPr>
              <w:spacing w:before="40" w:after="40" w:line="288" w:lineRule="auto"/>
            </w:pPr>
            <w:r/>
            <w:r>
              <w:rPr>
                <w:rFonts w:ascii="Microsoft YaHei" w:hAnsi="Microsoft YaHei"/>
                <w:b/>
                <w:color w:val="1A1A1A"/>
                <w:sz w:val="18"/>
              </w:rPr>
              <w:t>净流入 1951.92 万元</w:t>
            </w:r>
          </w:p>
        </w:tc>
      </w:tr>
      <w:tr>
        <w:tc>
          <w:tcPr>
            <w:tcW w:type="dxa" w:w="4533"/>
            <w:shd w:fill="F8F9FA" w:val="clear"/>
          </w:tcPr>
          <w:p>
            <w:pPr>
              <w:spacing w:before="40" w:after="40" w:line="288" w:lineRule="auto"/>
            </w:pPr>
            <w:r/>
            <w:r>
              <w:rPr>
                <w:rFonts w:ascii="Microsoft YaHei" w:hAnsi="Microsoft YaHei"/>
                <w:sz w:val="18"/>
              </w:rPr>
              <w:t>资金流入分钟数 / 流出分钟数</w:t>
            </w:r>
          </w:p>
        </w:tc>
        <w:tc>
          <w:tcPr>
            <w:tcW w:type="dxa" w:w="4533"/>
            <w:shd w:fill="F8F9FA" w:val="clear"/>
          </w:tcPr>
          <w:p>
            <w:pPr>
              <w:spacing w:before="40" w:after="40" w:line="288" w:lineRule="auto"/>
            </w:pPr>
            <w:r/>
            <w:r>
              <w:rPr>
                <w:rFonts w:ascii="Microsoft YaHei" w:hAnsi="Microsoft YaHei"/>
                <w:sz w:val="18"/>
              </w:rPr>
              <w:t>61分钟 / 52分钟</w:t>
            </w:r>
          </w:p>
        </w:tc>
      </w:tr>
      <w:tr>
        <w:tc>
          <w:tcPr>
            <w:tcW w:type="dxa" w:w="4533"/>
          </w:tcPr>
          <w:p>
            <w:pPr>
              <w:spacing w:before="40" w:after="40" w:line="288" w:lineRule="auto"/>
            </w:pPr>
            <w:r/>
            <w:r>
              <w:rPr>
                <w:rFonts w:ascii="Microsoft YaHei" w:hAnsi="Microsoft YaHei"/>
                <w:sz w:val="18"/>
              </w:rPr>
              <w:t>最大单分钟流入</w:t>
            </w:r>
          </w:p>
        </w:tc>
        <w:tc>
          <w:tcPr>
            <w:tcW w:type="dxa" w:w="4533"/>
          </w:tcPr>
          <w:p>
            <w:pPr>
              <w:spacing w:before="40" w:after="40" w:line="288" w:lineRule="auto"/>
            </w:pPr>
            <w:r/>
            <w:r>
              <w:rPr>
                <w:rFonts w:ascii="Microsoft YaHei" w:hAnsi="Microsoft YaHei"/>
                <w:sz w:val="18"/>
              </w:rPr>
              <w:t>731.2 万元</w:t>
            </w:r>
          </w:p>
        </w:tc>
      </w:tr>
      <w:tr>
        <w:tc>
          <w:tcPr>
            <w:tcW w:type="dxa" w:w="4533"/>
            <w:shd w:fill="F8F9FA" w:val="clear"/>
          </w:tcPr>
          <w:p>
            <w:pPr>
              <w:spacing w:before="40" w:after="40" w:line="288" w:lineRule="auto"/>
            </w:pPr>
            <w:r/>
            <w:r>
              <w:rPr>
                <w:rFonts w:ascii="Microsoft YaHei" w:hAnsi="Microsoft YaHei"/>
                <w:sz w:val="18"/>
              </w:rPr>
              <w:t>最大单分钟流出</w:t>
            </w:r>
          </w:p>
        </w:tc>
        <w:tc>
          <w:tcPr>
            <w:tcW w:type="dxa" w:w="4533"/>
            <w:shd w:fill="F8F9FA" w:val="clear"/>
          </w:tcPr>
          <w:p>
            <w:pPr>
              <w:spacing w:before="40" w:after="40" w:line="288" w:lineRule="auto"/>
            </w:pPr>
            <w:r/>
            <w:r>
              <w:rPr>
                <w:rFonts w:ascii="Microsoft YaHei" w:hAnsi="Microsoft YaHei"/>
                <w:sz w:val="18"/>
              </w:rPr>
              <w:t>107.8 万元</w:t>
            </w:r>
          </w:p>
        </w:tc>
      </w:tr>
    </w:tbl>
    <w:p/>
    <w:p>
      <w:r>
        <w:rPr>
          <w:rFonts w:ascii="Microsoft YaHei" w:hAnsi="Microsoft YaHei"/>
        </w:rPr>
        <w:t>资金面信号明确：</w:t>
      </w:r>
      <w:r>
        <w:rPr>
          <w:rFonts w:ascii="Microsoft YaHei" w:hAnsi="Microsoft YaHei"/>
          <w:b/>
          <w:color w:val="1A1A1A"/>
        </w:rPr>
        <w:t>净流入且流入时长超过流出时长</w:t>
      </w:r>
      <w:r>
        <w:rPr>
          <w:rFonts w:ascii="Microsoft YaHei" w:hAnsi="Microsoft YaHei"/>
        </w:rPr>
        <w:t>，最大单分钟流入（731.2万）远大于最大单分钟流出（107.8万），资金承接力度强劲。</w:t>
      </w:r>
    </w:p>
    <w:p>
      <w:pPr>
        <w:spacing w:before="280" w:after="80" w:line="312" w:lineRule="auto"/>
      </w:pPr>
      <w:r>
        <w:rPr>
          <w:rFonts w:ascii="Microsoft YaHei" w:hAnsi="Microsoft YaHei"/>
          <w:b/>
          <w:color w:val="333333"/>
          <w:sz w:val="24"/>
        </w:rPr>
        <w:t>上一个交易日资金细分</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净额（元）</w:t>
            </w:r>
          </w:p>
        </w:tc>
        <w:tc>
          <w:tcPr>
            <w:tcW w:type="dxa" w:w="3022"/>
            <w:shd w:fill="F6F8FA" w:val="clear"/>
          </w:tcPr>
          <w:p>
            <w:pPr>
              <w:spacing w:before="40" w:after="40" w:line="288" w:lineRule="auto"/>
            </w:pPr>
            <w:r/>
            <w:r>
              <w:rPr>
                <w:rFonts w:ascii="Microsoft YaHei" w:hAnsi="Microsoft YaHei"/>
                <w:b/>
                <w:color w:val="1A1A1A"/>
                <w:sz w:val="18"/>
              </w:rPr>
              <w:t>说明</w:t>
            </w:r>
          </w:p>
        </w:tc>
      </w:tr>
      <w:tr>
        <w:tc>
          <w:tcPr>
            <w:tcW w:type="dxa" w:w="3022"/>
          </w:tcPr>
          <w:p>
            <w:pPr>
              <w:spacing w:before="40" w:after="40" w:line="288" w:lineRule="auto"/>
            </w:pPr>
            <w:r/>
            <w:r>
              <w:rPr>
                <w:rFonts w:ascii="Microsoft YaHei" w:hAnsi="Microsoft YaHei"/>
                <w:sz w:val="18"/>
              </w:rPr>
              <w:t>大单净额</w:t>
            </w:r>
          </w:p>
        </w:tc>
        <w:tc>
          <w:tcPr>
            <w:tcW w:type="dxa" w:w="3022"/>
          </w:tcPr>
          <w:p>
            <w:pPr>
              <w:spacing w:before="40" w:after="40" w:line="288" w:lineRule="auto"/>
            </w:pPr>
            <w:r/>
            <w:r>
              <w:rPr>
                <w:rFonts w:ascii="Microsoft YaHei" w:hAnsi="Microsoft YaHei"/>
                <w:b/>
                <w:color w:val="1A1A1A"/>
                <w:sz w:val="18"/>
              </w:rPr>
              <w:t>+815.67 万</w:t>
            </w:r>
          </w:p>
        </w:tc>
        <w:tc>
          <w:tcPr>
            <w:tcW w:type="dxa" w:w="3022"/>
          </w:tcPr>
          <w:p>
            <w:pPr>
              <w:spacing w:before="40" w:after="40" w:line="288" w:lineRule="auto"/>
            </w:pPr>
            <w:r/>
            <w:r>
              <w:rPr>
                <w:rFonts w:ascii="Microsoft YaHei" w:hAnsi="Microsoft YaHei"/>
                <w:sz w:val="18"/>
              </w:rPr>
              <w:t>买入1462.83万 / 卖出647.15万</w:t>
            </w:r>
          </w:p>
        </w:tc>
      </w:tr>
      <w:tr>
        <w:tc>
          <w:tcPr>
            <w:tcW w:type="dxa" w:w="3022"/>
            <w:shd w:fill="F8F9FA" w:val="clear"/>
          </w:tcPr>
          <w:p>
            <w:pPr>
              <w:spacing w:before="40" w:after="40" w:line="288" w:lineRule="auto"/>
            </w:pPr>
            <w:r/>
            <w:r>
              <w:rPr>
                <w:rFonts w:ascii="Microsoft YaHei" w:hAnsi="Microsoft YaHei"/>
                <w:sz w:val="18"/>
              </w:rPr>
              <w:t>中单净额</w:t>
            </w:r>
          </w:p>
        </w:tc>
        <w:tc>
          <w:tcPr>
            <w:tcW w:type="dxa" w:w="3022"/>
            <w:shd w:fill="F8F9FA" w:val="clear"/>
          </w:tcPr>
          <w:p>
            <w:pPr>
              <w:spacing w:before="40" w:after="40" w:line="288" w:lineRule="auto"/>
            </w:pPr>
            <w:r/>
            <w:r>
              <w:rPr>
                <w:rFonts w:ascii="Microsoft YaHei" w:hAnsi="Microsoft YaHei"/>
                <w:sz w:val="18"/>
              </w:rPr>
              <w:t>+400.78 万</w:t>
            </w:r>
          </w:p>
        </w:tc>
        <w:tc>
          <w:tcPr>
            <w:tcW w:type="dxa" w:w="3022"/>
            <w:shd w:fill="F8F9FA" w:val="clear"/>
          </w:tcPr>
          <w:p>
            <w:pPr>
              <w:spacing w:before="40" w:after="40" w:line="288" w:lineRule="auto"/>
            </w:pPr>
            <w:r/>
            <w:r>
              <w:rPr>
                <w:rFonts w:ascii="Microsoft YaHei" w:hAnsi="Microsoft YaHei"/>
                <w:sz w:val="18"/>
              </w:rPr>
              <w:t>买入2955.35万 / 卖出2554.57万</w:t>
            </w:r>
          </w:p>
        </w:tc>
      </w:tr>
      <w:tr>
        <w:tc>
          <w:tcPr>
            <w:tcW w:type="dxa" w:w="3022"/>
          </w:tcPr>
          <w:p>
            <w:pPr>
              <w:spacing w:before="40" w:after="40" w:line="288" w:lineRule="auto"/>
            </w:pPr>
            <w:r/>
            <w:r>
              <w:rPr>
                <w:rFonts w:ascii="Microsoft YaHei" w:hAnsi="Microsoft YaHei"/>
                <w:sz w:val="18"/>
              </w:rPr>
              <w:t>小单净额</w:t>
            </w:r>
          </w:p>
        </w:tc>
        <w:tc>
          <w:tcPr>
            <w:tcW w:type="dxa" w:w="3022"/>
          </w:tcPr>
          <w:p>
            <w:pPr>
              <w:spacing w:before="40" w:after="40" w:line="288" w:lineRule="auto"/>
            </w:pPr>
            <w:r/>
            <w:r>
              <w:rPr>
                <w:rFonts w:ascii="Microsoft YaHei" w:hAnsi="Microsoft YaHei"/>
                <w:sz w:val="18"/>
              </w:rPr>
              <w:t>+735.47 万</w:t>
            </w:r>
          </w:p>
        </w:tc>
        <w:tc>
          <w:tcPr>
            <w:tcW w:type="dxa" w:w="3022"/>
          </w:tcPr>
          <w:p>
            <w:pPr>
              <w:spacing w:before="40" w:after="40" w:line="288" w:lineRule="auto"/>
            </w:pPr>
            <w:r/>
            <w:r>
              <w:rPr>
                <w:rFonts w:ascii="Microsoft YaHei" w:hAnsi="Microsoft YaHei"/>
                <w:sz w:val="18"/>
              </w:rPr>
              <w:t>买入1524.90万 / 卖出789.43万</w:t>
            </w:r>
          </w:p>
        </w:tc>
      </w:tr>
      <w:tr>
        <w:tc>
          <w:tcPr>
            <w:tcW w:type="dxa" w:w="3022"/>
            <w:shd w:fill="F8F9FA" w:val="clear"/>
          </w:tcPr>
          <w:p>
            <w:pPr>
              <w:spacing w:before="40" w:after="40" w:line="288" w:lineRule="auto"/>
            </w:pPr>
            <w:r/>
            <w:r>
              <w:rPr>
                <w:rFonts w:ascii="Microsoft YaHei" w:hAnsi="Microsoft YaHei"/>
                <w:b/>
                <w:color w:val="1A1A1A"/>
                <w:sz w:val="18"/>
              </w:rPr>
              <w:t>合计</w:t>
            </w:r>
          </w:p>
        </w:tc>
        <w:tc>
          <w:tcPr>
            <w:tcW w:type="dxa" w:w="3022"/>
            <w:shd w:fill="F8F9FA" w:val="clear"/>
          </w:tcPr>
          <w:p>
            <w:pPr>
              <w:spacing w:before="40" w:after="40" w:line="288" w:lineRule="auto"/>
            </w:pPr>
            <w:r/>
            <w:r>
              <w:rPr>
                <w:rFonts w:ascii="Microsoft YaHei" w:hAnsi="Microsoft YaHei"/>
                <w:b/>
                <w:color w:val="1A1A1A"/>
                <w:sz w:val="18"/>
              </w:rPr>
              <w:t>+1951.92 万</w:t>
            </w:r>
          </w:p>
        </w:tc>
        <w:tc>
          <w:tcPr>
            <w:tcW w:type="dxa" w:w="3022"/>
            <w:shd w:fill="F8F9FA" w:val="clear"/>
          </w:tcPr>
          <w:p>
            <w:pPr>
              <w:spacing w:before="40" w:after="40" w:line="288" w:lineRule="auto"/>
            </w:pPr>
            <w:r/>
            <w:r>
              <w:rPr>
                <w:rFonts w:ascii="Microsoft YaHei" w:hAnsi="Microsoft YaHei"/>
                <w:sz w:val="18"/>
              </w:rPr>
              <w:t>三大资金类型均为净流入</w:t>
            </w:r>
          </w:p>
        </w:tc>
      </w:tr>
    </w:tbl>
    <w:p/>
    <w:p>
      <w:r>
        <w:rPr>
          <w:rFonts w:ascii="Microsoft YaHei" w:hAnsi="Microsoft YaHei"/>
        </w:rPr>
        <w:t xml:space="preserve">昨日三大资金类型（大单、中单、小单）悉数净流入，其中大单净流入 </w:t>
      </w:r>
      <w:r>
        <w:rPr>
          <w:rFonts w:ascii="Microsoft YaHei" w:hAnsi="Microsoft YaHei"/>
          <w:b/>
          <w:color w:val="1A1A1A"/>
        </w:rPr>
        <w:t>815.67万</w:t>
      </w:r>
      <w:r>
        <w:rPr>
          <w:rFonts w:ascii="Microsoft YaHei" w:hAnsi="Microsoft YaHei"/>
        </w:rPr>
        <w:t xml:space="preserve"> 最为突出，显示主力资金提前布局。</w:t>
      </w:r>
    </w:p>
    <w:p>
      <w:pPr>
        <w:spacing w:before="280" w:after="80" w:line="312" w:lineRule="auto"/>
      </w:pPr>
      <w:r>
        <w:rPr>
          <w:rFonts w:ascii="Microsoft YaHei" w:hAnsi="Microsoft YaHei"/>
          <w:b/>
          <w:color w:val="333333"/>
          <w:sz w:val="24"/>
        </w:rPr>
        <w:t>融资融券</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项目</w:t>
            </w:r>
          </w:p>
        </w:tc>
        <w:tc>
          <w:tcPr>
            <w:tcW w:type="dxa" w:w="3022"/>
            <w:shd w:fill="F6F8FA" w:val="clear"/>
          </w:tcPr>
          <w:p>
            <w:pPr>
              <w:spacing w:before="40" w:after="40" w:line="288" w:lineRule="auto"/>
            </w:pPr>
            <w:r/>
            <w:r>
              <w:rPr>
                <w:rFonts w:ascii="Microsoft YaHei" w:hAnsi="Microsoft YaHei"/>
                <w:b/>
                <w:color w:val="1A1A1A"/>
                <w:sz w:val="18"/>
              </w:rPr>
              <w:t>数据</w:t>
            </w:r>
          </w:p>
        </w:tc>
        <w:tc>
          <w:tcPr>
            <w:tcW w:type="dxa" w:w="3022"/>
            <w:shd w:fill="F6F8FA" w:val="clear"/>
          </w:tcPr>
          <w:p>
            <w:pPr>
              <w:spacing w:before="40" w:after="40" w:line="288" w:lineRule="auto"/>
            </w:pPr>
            <w:r/>
            <w:r>
              <w:rPr>
                <w:rFonts w:ascii="Microsoft YaHei" w:hAnsi="Microsoft YaHei"/>
                <w:b/>
                <w:color w:val="1A1A1A"/>
                <w:sz w:val="18"/>
              </w:rPr>
              <w:t>变动</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b/>
                <w:color w:val="1A1A1A"/>
                <w:sz w:val="18"/>
              </w:rPr>
              <w:t>9.52 亿元</w:t>
            </w:r>
          </w:p>
        </w:tc>
        <w:tc>
          <w:tcPr>
            <w:tcW w:type="dxa" w:w="3022"/>
          </w:tcPr>
          <w:p>
            <w:pPr>
              <w:spacing w:before="40" w:after="40" w:line="288" w:lineRule="auto"/>
            </w:pPr>
            <w:r/>
            <w:r>
              <w:rPr>
                <w:rFonts w:ascii="Microsoft YaHei" w:hAnsi="Microsoft YaHei"/>
                <w:sz w:val="18"/>
              </w:rPr>
              <w:t xml:space="preserve">较前日 </w:t>
            </w:r>
            <w:r>
              <w:rPr>
                <w:rFonts w:ascii="Microsoft YaHei" w:hAnsi="Microsoft YaHei"/>
                <w:b/>
                <w:color w:val="1A1A1A"/>
                <w:sz w:val="18"/>
              </w:rPr>
              <w:t>+0.37%</w:t>
            </w:r>
            <w:r>
              <w:rPr>
                <w:rFonts w:ascii="Microsoft YaHei" w:hAnsi="Microsoft YaHei"/>
                <w:sz w:val="18"/>
              </w:rPr>
              <w:t>（净买入346.2万元）</w:t>
            </w:r>
          </w:p>
        </w:tc>
      </w:tr>
      <w:tr>
        <w:tc>
          <w:tcPr>
            <w:tcW w:type="dxa" w:w="3022"/>
            <w:shd w:fill="F8F9FA" w:val="clear"/>
          </w:tcPr>
          <w:p>
            <w:pPr>
              <w:spacing w:before="40" w:after="40" w:line="288" w:lineRule="auto"/>
            </w:pPr>
            <w:r/>
            <w:r>
              <w:rPr>
                <w:rFonts w:ascii="Microsoft YaHei" w:hAnsi="Microsoft YaHei"/>
                <w:sz w:val="18"/>
              </w:rPr>
              <w:t>融券余额</w:t>
            </w:r>
          </w:p>
        </w:tc>
        <w:tc>
          <w:tcPr>
            <w:tcW w:type="dxa" w:w="3022"/>
            <w:shd w:fill="F8F9FA" w:val="clear"/>
          </w:tcPr>
          <w:p>
            <w:pPr>
              <w:spacing w:before="40" w:after="40" w:line="288" w:lineRule="auto"/>
            </w:pPr>
            <w:r/>
            <w:r>
              <w:rPr>
                <w:rFonts w:ascii="Microsoft YaHei" w:hAnsi="Microsoft YaHei"/>
                <w:sz w:val="18"/>
              </w:rPr>
              <w:t>0.01 亿元</w:t>
            </w:r>
          </w:p>
        </w:tc>
        <w:tc>
          <w:tcPr>
            <w:tcW w:type="dxa" w:w="3022"/>
            <w:shd w:fill="F8F9FA" w:val="clear"/>
          </w:tcPr>
          <w:p>
            <w:pPr>
              <w:spacing w:before="40" w:after="40" w:line="288" w:lineRule="auto"/>
            </w:pPr>
            <w:r/>
            <w:r>
              <w:rPr>
                <w:rFonts w:ascii="Microsoft YaHei" w:hAnsi="Microsoft YaHei"/>
                <w:sz w:val="18"/>
              </w:rPr>
              <w:t>较前日 +2.06%</w:t>
            </w:r>
          </w:p>
        </w:tc>
      </w:tr>
    </w:tbl>
    <w:p/>
    <w:p>
      <w:r>
        <w:rPr>
          <w:rFonts w:ascii="Microsoft YaHei" w:hAnsi="Microsoft YaHei"/>
        </w:rPr>
        <w:t>融资余额温和上升，杠杆资金小幅加仓，态度偏积极。</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b/>
                <w:color w:val="1A1A1A"/>
                <w:sz w:val="18"/>
              </w:rPr>
              <w:t>MA5（5.47）</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+2.2%</w:t>
            </w:r>
          </w:p>
        </w:tc>
      </w:tr>
      <w:tr>
        <w:tc>
          <w:tcPr>
            <w:tcW w:type="dxa" w:w="3022"/>
            <w:shd w:fill="F8F9FA" w:val="clear"/>
          </w:tcPr>
          <w:p>
            <w:pPr>
              <w:spacing w:before="40" w:after="40" w:line="288" w:lineRule="auto"/>
            </w:pPr>
            <w:r/>
            <w:r>
              <w:rPr>
                <w:rFonts w:ascii="Microsoft YaHei" w:hAnsi="Microsoft YaHei"/>
                <w:b/>
                <w:color w:val="1A1A1A"/>
                <w:sz w:val="18"/>
              </w:rPr>
              <w:t>MA10（5.31）</w:t>
            </w:r>
          </w:p>
        </w:tc>
        <w:tc>
          <w:tcPr>
            <w:tcW w:type="dxa" w:w="3022"/>
            <w:shd w:fill="F8F9FA" w:val="clear"/>
          </w:tcPr>
          <w:p>
            <w:pPr>
              <w:spacing w:before="40" w:after="40" w:line="288" w:lineRule="auto"/>
            </w:pPr>
            <w:r/>
            <w:r>
              <w:rPr>
                <w:rFonts w:ascii="Microsoft YaHei" w:hAnsi="Microsoft YaHei"/>
                <w:sz w:val="18"/>
              </w:rPr>
              <w:t>上方</w:t>
            </w:r>
          </w:p>
        </w:tc>
        <w:tc>
          <w:tcPr>
            <w:tcW w:type="dxa" w:w="3022"/>
            <w:shd w:fill="F8F9FA" w:val="clear"/>
          </w:tcPr>
          <w:p>
            <w:pPr>
              <w:spacing w:before="40" w:after="40" w:line="288" w:lineRule="auto"/>
            </w:pPr>
            <w:r/>
            <w:r>
              <w:rPr>
                <w:rFonts w:ascii="Microsoft YaHei" w:hAnsi="Microsoft YaHei"/>
                <w:b/>
                <w:color w:val="1A1A1A"/>
                <w:sz w:val="18"/>
              </w:rPr>
              <w:t>+5.3%</w:t>
            </w:r>
          </w:p>
        </w:tc>
      </w:tr>
      <w:tr>
        <w:tc>
          <w:tcPr>
            <w:tcW w:type="dxa" w:w="3022"/>
          </w:tcPr>
          <w:p>
            <w:pPr>
              <w:spacing w:before="40" w:after="40" w:line="288" w:lineRule="auto"/>
            </w:pPr>
            <w:r/>
            <w:r>
              <w:rPr>
                <w:rFonts w:ascii="Microsoft YaHei" w:hAnsi="Microsoft YaHei"/>
                <w:b/>
                <w:color w:val="1A1A1A"/>
                <w:sz w:val="18"/>
              </w:rPr>
              <w:t>MA20/布林中轨（5.11）</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+9.4%</w:t>
            </w:r>
          </w:p>
        </w:tc>
      </w:tr>
      <w:tr>
        <w:tc>
          <w:tcPr>
            <w:tcW w:type="dxa" w:w="3022"/>
            <w:shd w:fill="F8F9FA" w:val="clear"/>
          </w:tcPr>
          <w:p>
            <w:pPr>
              <w:spacing w:before="40" w:after="40" w:line="288" w:lineRule="auto"/>
            </w:pPr>
            <w:r/>
            <w:r>
              <w:rPr>
                <w:rFonts w:ascii="Microsoft YaHei" w:hAnsi="Microsoft YaHei"/>
                <w:b/>
                <w:color w:val="1A1A1A"/>
                <w:sz w:val="18"/>
              </w:rPr>
              <w:t>布林带上轨（5.61）</w:t>
            </w:r>
          </w:p>
        </w:tc>
        <w:tc>
          <w:tcPr>
            <w:tcW w:type="dxa" w:w="3022"/>
            <w:shd w:fill="F8F9FA" w:val="clear"/>
          </w:tcPr>
          <w:p>
            <w:pPr>
              <w:spacing w:before="40" w:after="40" w:line="288" w:lineRule="auto"/>
            </w:pPr>
            <w:r/>
            <w:r>
              <w:rPr>
                <w:rFonts w:ascii="Microsoft YaHei" w:hAnsi="Microsoft YaHei"/>
                <w:sz w:val="18"/>
              </w:rPr>
              <w:t>紧贴</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布林带下轨（4.61）</w:t>
            </w:r>
          </w:p>
        </w:tc>
        <w:tc>
          <w:tcPr>
            <w:tcW w:type="dxa" w:w="3022"/>
          </w:tcPr>
          <w:p>
            <w:pPr>
              <w:spacing w:before="40" w:after="40" w:line="288" w:lineRule="auto"/>
            </w:pPr>
            <w:r/>
            <w:r>
              <w:rPr>
                <w:rFonts w:ascii="Microsoft YaHei" w:hAnsi="Microsoft YaHei"/>
                <w:sz w:val="18"/>
              </w:rPr>
              <w:t>远上方</w:t>
            </w:r>
          </w:p>
        </w:tc>
        <w:tc>
          <w:tcPr>
            <w:tcW w:type="dxa" w:w="3022"/>
          </w:tcPr>
          <w:p>
            <w:pPr>
              <w:spacing w:before="40" w:after="40" w:line="288" w:lineRule="auto"/>
            </w:pPr>
            <w:r/>
            <w:r>
              <w:rPr>
                <w:rFonts w:ascii="Microsoft YaHei" w:hAnsi="Microsoft YaHei"/>
                <w:sz w:val="18"/>
              </w:rPr>
              <w:t>—</w:t>
            </w:r>
          </w:p>
        </w:tc>
      </w:tr>
    </w:tbl>
    <w:p/>
    <w:p>
      <w:r>
        <w:rPr>
          <w:rFonts w:ascii="Microsoft YaHei" w:hAnsi="Microsoft YaHei"/>
          <w:b/>
          <w:color w:val="1A1A1A"/>
        </w:rPr>
        <w:t>技术面判断：</w:t>
      </w:r>
    </w:p>
    <w:p>
      <w:pPr>
        <w:pStyle w:val="ListBullet"/>
      </w:pPr>
      <w:r>
        <w:rPr>
          <w:rFonts w:ascii="Microsoft YaHei" w:hAnsi="Microsoft YaHei"/>
        </w:rPr>
        <w:t xml:space="preserve">当前价 </w:t>
      </w:r>
      <w:r>
        <w:rPr>
          <w:rFonts w:ascii="Microsoft YaHei" w:hAnsi="Microsoft YaHei"/>
          <w:b/>
          <w:color w:val="1A1A1A"/>
        </w:rPr>
        <w:t>5.59元</w:t>
      </w:r>
      <w:r>
        <w:rPr>
          <w:rFonts w:ascii="Microsoft YaHei" w:hAnsi="Microsoft YaHei"/>
        </w:rPr>
        <w:t xml:space="preserve"> 已站上 </w:t>
      </w:r>
      <w:r>
        <w:rPr>
          <w:rFonts w:ascii="Microsoft YaHei" w:hAnsi="Microsoft YaHei"/>
          <w:b/>
          <w:color w:val="1A1A1A"/>
        </w:rPr>
        <w:t>MA5、MA10、MA20</w:t>
      </w:r>
      <w:r>
        <w:rPr>
          <w:rFonts w:ascii="Microsoft YaHei" w:hAnsi="Microsoft YaHei"/>
        </w:rPr>
        <w:t xml:space="preserve"> 全部均线，并距离MA20/中轨偏离 </w:t>
      </w:r>
      <w:r>
        <w:rPr>
          <w:rFonts w:ascii="Microsoft YaHei" w:hAnsi="Microsoft YaHei"/>
          <w:b/>
          <w:color w:val="1A1A1A"/>
        </w:rPr>
        <w:t>+9.4%</w:t>
      </w:r>
      <w:r>
        <w:rPr>
          <w:rFonts w:ascii="Microsoft YaHei" w:hAnsi="Microsoft YaHei"/>
        </w:rPr>
        <w:t>，呈现多头排列雏形。</w:t>
      </w:r>
    </w:p>
    <w:p>
      <w:pPr>
        <w:pStyle w:val="ListBullet"/>
      </w:pPr>
      <w:r>
        <w:rPr>
          <w:rFonts w:ascii="Microsoft YaHei" w:hAnsi="Microsoft YaHei"/>
        </w:rPr>
        <w:t xml:space="preserve">盘中最高触及 </w:t>
      </w:r>
      <w:r>
        <w:rPr>
          <w:rFonts w:ascii="Microsoft YaHei" w:hAnsi="Microsoft YaHei"/>
          <w:b/>
          <w:color w:val="1A1A1A"/>
        </w:rPr>
        <w:t>5.62元</w:t>
      </w:r>
      <w:r>
        <w:rPr>
          <w:rFonts w:ascii="Microsoft YaHei" w:hAnsi="Microsoft YaHei"/>
        </w:rPr>
        <w:t xml:space="preserve">，恰好突破布林带上轨 </w:t>
      </w:r>
      <w:r>
        <w:rPr>
          <w:rFonts w:ascii="Microsoft YaHei" w:hAnsi="Microsoft YaHei"/>
          <w:b/>
          <w:color w:val="1A1A1A"/>
        </w:rPr>
        <w:t>5.61元</w:t>
      </w:r>
      <w:r>
        <w:rPr>
          <w:rFonts w:ascii="Microsoft YaHei" w:hAnsi="Microsoft YaHei"/>
        </w:rPr>
        <w:t xml:space="preserve">，目前股价 </w:t>
      </w:r>
      <w:r>
        <w:rPr>
          <w:rFonts w:ascii="Microsoft YaHei" w:hAnsi="Microsoft YaHei"/>
          <w:b/>
          <w:color w:val="1A1A1A"/>
        </w:rPr>
        <w:t>5.59元</w:t>
      </w:r>
      <w:r>
        <w:rPr>
          <w:rFonts w:ascii="Microsoft YaHei" w:hAnsi="Microsoft YaHei"/>
        </w:rPr>
        <w:t xml:space="preserve"> 紧贴布林上轨运行，短期存在上轨压力。</w:t>
      </w:r>
    </w:p>
    <w:p>
      <w:pPr>
        <w:pStyle w:val="ListBullet"/>
      </w:pPr>
      <w:r>
        <w:rPr>
          <w:rFonts w:ascii="Microsoft YaHei" w:hAnsi="Microsoft YaHei"/>
        </w:rPr>
        <w:t>今日放量突破（量比1.81），若午后能站稳布林上轨之上，则有望打开新的上行空间；若未能有效突破，可能面临上轨承压后的技术性回调。</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重大事件解读</w:t>
      </w:r>
    </w:p>
    <w:p>
      <w:r>
        <w:rPr>
          <w:rFonts w:ascii="Microsoft YaHei" w:hAnsi="Microsoft YaHei"/>
          <w:b/>
          <w:color w:val="1A1A1A"/>
        </w:rPr>
        <w:t>① "擎海"压缩机组橇装装备完工交付</w:t>
      </w:r>
      <w:r>
        <w:rPr>
          <w:rFonts w:ascii="Microsoft YaHei" w:hAnsi="Microsoft YaHei"/>
        </w:rPr>
        <w:t>（2026-07-28）</w:t>
      </w:r>
    </w:p>
    <w:p>
      <w:r>
        <w:rPr>
          <w:rFonts w:ascii="Microsoft YaHei" w:hAnsi="Microsoft YaHei"/>
        </w:rPr>
        <w:t xml:space="preserve">海油工程宣布"擎海"系列产品压缩机组橇装装备在总装车间完工交付，该装备将用于 </w:t>
      </w:r>
      <w:r>
        <w:rPr>
          <w:rFonts w:ascii="Microsoft YaHei" w:hAnsi="Microsoft YaHei"/>
          <w:b/>
          <w:color w:val="1A1A1A"/>
        </w:rPr>
        <w:t>惠州25-4油田综合调整/惠州19-6油田5d井区开发项目</w:t>
      </w:r>
      <w:r>
        <w:rPr>
          <w:rFonts w:ascii="Microsoft YaHei" w:hAnsi="Microsoft YaHei"/>
        </w:rPr>
        <w:t>，是南海东部油气增储上产的关键核心装备。该订单的按期交付直接验证了公司在高端海工装备领域的制造交付能力，对后续订单获取形成正向催化。</w:t>
      </w:r>
    </w:p>
    <w:p>
      <w:r>
        <w:rPr>
          <w:rFonts w:ascii="Microsoft YaHei" w:hAnsi="Microsoft YaHei"/>
          <w:b/>
          <w:color w:val="1A1A1A"/>
        </w:rPr>
        <w:t>② 自主研发海底管道更换技术落地应用</w:t>
      </w:r>
      <w:r>
        <w:rPr>
          <w:rFonts w:ascii="Microsoft YaHei" w:hAnsi="Microsoft YaHei"/>
        </w:rPr>
        <w:t>（2026-07-29）</w:t>
      </w:r>
    </w:p>
    <w:p>
      <w:r>
        <w:rPr>
          <w:rFonts w:ascii="Microsoft YaHei" w:hAnsi="Microsoft YaHei"/>
        </w:rPr>
        <w:t xml:space="preserve">公司自主研发的一体化海底管道更换技术已在 </w:t>
      </w:r>
      <w:r>
        <w:rPr>
          <w:rFonts w:ascii="Microsoft YaHei" w:hAnsi="Microsoft YaHei"/>
          <w:b/>
          <w:color w:val="1A1A1A"/>
        </w:rPr>
        <w:t>渤海油田</w:t>
      </w:r>
      <w:r>
        <w:rPr>
          <w:rFonts w:ascii="Microsoft YaHei" w:hAnsi="Microsoft YaHei"/>
        </w:rPr>
        <w:t xml:space="preserve"> 多个项目中成功应用。该技术集"精准铺管+双吊安装+隔离试压"于一体，较传统作业模式大幅缩短施工周期、降低安全风险。技术创新能力的持续输出，有助于巩固公司在中国海洋工程领域的龙头地位。</w:t>
      </w:r>
    </w:p>
    <w:p>
      <w:r>
        <w:rPr>
          <w:rFonts w:ascii="Microsoft YaHei" w:hAnsi="Microsoft YaHei"/>
          <w:b/>
          <w:color w:val="1A1A1A"/>
        </w:rPr>
        <w:t>③ 融资余额连续增长</w:t>
      </w:r>
    </w:p>
    <w:p>
      <w:r>
        <w:rPr>
          <w:rFonts w:ascii="Microsoft YaHei" w:hAnsi="Microsoft YaHei"/>
        </w:rPr>
        <w:t xml:space="preserve">融资余额达到 </w:t>
      </w:r>
      <w:r>
        <w:rPr>
          <w:rFonts w:ascii="Microsoft YaHei" w:hAnsi="Microsoft YaHei"/>
          <w:b/>
          <w:color w:val="1A1A1A"/>
        </w:rPr>
        <w:t>9.52亿元</w:t>
      </w:r>
      <w:r>
        <w:rPr>
          <w:rFonts w:ascii="Microsoft YaHei" w:hAnsi="Microsoft YaHei"/>
        </w:rPr>
        <w:t xml:space="preserve">，融资净买入 </w:t>
      </w:r>
      <w:r>
        <w:rPr>
          <w:rFonts w:ascii="Microsoft YaHei" w:hAnsi="Microsoft YaHei"/>
          <w:b/>
          <w:color w:val="1A1A1A"/>
        </w:rPr>
        <w:t>346.2万元</w:t>
      </w:r>
      <w:r>
        <w:rPr>
          <w:rFonts w:ascii="Microsoft YaHei" w:hAnsi="Microsoft YaHei"/>
        </w:rPr>
        <w:t>，显示杠杆资金持续看好。</w:t>
      </w:r>
    </w:p>
    <w:p>
      <w:r>
        <w:rPr>
          <w:rFonts w:ascii="Microsoft YaHei" w:hAnsi="Microsoft YaHei"/>
          <w:b/>
          <w:color w:val="1A1A1A"/>
        </w:rPr>
        <w:t>综合评价</w:t>
      </w:r>
      <w:r>
        <w:rPr>
          <w:rFonts w:ascii="Microsoft YaHei" w:hAnsi="Microsoft YaHei"/>
        </w:rPr>
        <w:t xml:space="preserve">：上述两条产业新闻均指向公司 </w:t>
      </w:r>
      <w:r>
        <w:rPr>
          <w:rFonts w:ascii="Microsoft YaHei" w:hAnsi="Microsoft YaHei"/>
          <w:b/>
          <w:color w:val="1A1A1A"/>
        </w:rPr>
        <w:t>在手项目顺利推进、技术创新持续突破</w:t>
      </w:r>
      <w:r>
        <w:rPr>
          <w:rFonts w:ascii="Microsoft YaHei" w:hAnsi="Microsoft YaHei"/>
        </w:rPr>
        <w:t>，叠加能源板块当日整体走强，构成了今日股价放量上攻的催化剂。</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板块名称</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全市场排名</w:t>
            </w:r>
          </w:p>
        </w:tc>
        <w:tc>
          <w:tcPr>
            <w:tcW w:type="dxa" w:w="2266"/>
            <w:shd w:fill="F6F8FA" w:val="clear"/>
          </w:tcPr>
          <w:p>
            <w:pPr>
              <w:spacing w:before="40" w:after="40" w:line="288" w:lineRule="auto"/>
            </w:pPr>
            <w:r/>
            <w:r>
              <w:rPr>
                <w:rFonts w:ascii="Microsoft YaHei" w:hAnsi="Microsoft YaHei"/>
                <w:b/>
                <w:color w:val="1A1A1A"/>
                <w:sz w:val="18"/>
              </w:rPr>
              <w:t>该股板块内排名</w:t>
            </w:r>
          </w:p>
        </w:tc>
      </w:tr>
      <w:tr>
        <w:tc>
          <w:tcPr>
            <w:tcW w:type="dxa" w:w="2266"/>
          </w:tcPr>
          <w:p>
            <w:pPr>
              <w:spacing w:before="40" w:after="40" w:line="288" w:lineRule="auto"/>
            </w:pPr>
            <w:r/>
            <w:r>
              <w:rPr>
                <w:rFonts w:ascii="Microsoft YaHei" w:hAnsi="Microsoft YaHei"/>
                <w:b/>
                <w:color w:val="1A1A1A"/>
                <w:sz w:val="18"/>
              </w:rPr>
              <w:t>能源(A股)</w:t>
            </w:r>
          </w:p>
        </w:tc>
        <w:tc>
          <w:tcPr>
            <w:tcW w:type="dxa" w:w="2266"/>
          </w:tcPr>
          <w:p>
            <w:pPr>
              <w:spacing w:before="40" w:after="40" w:line="288" w:lineRule="auto"/>
            </w:pPr>
            <w:r/>
            <w:r>
              <w:rPr>
                <w:rFonts w:ascii="Microsoft YaHei" w:hAnsi="Microsoft YaHei"/>
                <w:b/>
                <w:color w:val="1A1A1A"/>
                <w:sz w:val="18"/>
              </w:rPr>
              <w:t>+2.62%</w:t>
            </w:r>
          </w:p>
        </w:tc>
        <w:tc>
          <w:tcPr>
            <w:tcW w:type="dxa" w:w="2266"/>
          </w:tcPr>
          <w:p>
            <w:pPr>
              <w:spacing w:before="40" w:after="40" w:line="288" w:lineRule="auto"/>
            </w:pPr>
            <w:r/>
            <w:r>
              <w:rPr>
                <w:rFonts w:ascii="Microsoft YaHei" w:hAnsi="Microsoft YaHei"/>
                <w:sz w:val="18"/>
              </w:rPr>
              <w:t>39/1158</w:t>
            </w:r>
          </w:p>
        </w:tc>
        <w:tc>
          <w:tcPr>
            <w:tcW w:type="dxa" w:w="2266"/>
          </w:tcPr>
          <w:p>
            <w:pPr>
              <w:spacing w:before="40" w:after="40" w:line="288" w:lineRule="auto"/>
            </w:pPr>
            <w:r/>
            <w:r>
              <w:rPr>
                <w:rFonts w:ascii="Microsoft YaHei" w:hAnsi="Microsoft YaHei"/>
                <w:b/>
                <w:color w:val="1A1A1A"/>
                <w:sz w:val="18"/>
              </w:rPr>
              <w:t>31/83</w:t>
            </w:r>
          </w:p>
        </w:tc>
      </w:tr>
      <w:tr>
        <w:tc>
          <w:tcPr>
            <w:tcW w:type="dxa" w:w="2266"/>
            <w:shd w:fill="F8F9FA" w:val="clear"/>
          </w:tcPr>
          <w:p>
            <w:pPr>
              <w:spacing w:before="40" w:after="40" w:line="288" w:lineRule="auto"/>
            </w:pPr>
            <w:r/>
            <w:r>
              <w:rPr>
                <w:rFonts w:ascii="Microsoft YaHei" w:hAnsi="Microsoft YaHei"/>
                <w:sz w:val="18"/>
              </w:rPr>
              <w:t>能源设备与服务(A股)</w:t>
            </w:r>
          </w:p>
        </w:tc>
        <w:tc>
          <w:tcPr>
            <w:tcW w:type="dxa" w:w="2266"/>
            <w:shd w:fill="F8F9FA" w:val="clear"/>
          </w:tcPr>
          <w:p>
            <w:pPr>
              <w:spacing w:before="40" w:after="40" w:line="288" w:lineRule="auto"/>
            </w:pPr>
            <w:r/>
            <w:r>
              <w:rPr>
                <w:rFonts w:ascii="Microsoft YaHei" w:hAnsi="Microsoft YaHei"/>
                <w:sz w:val="18"/>
              </w:rPr>
              <w:t>+1.92%</w:t>
            </w:r>
          </w:p>
        </w:tc>
        <w:tc>
          <w:tcPr>
            <w:tcW w:type="dxa" w:w="2266"/>
            <w:shd w:fill="F8F9FA" w:val="clear"/>
          </w:tcPr>
          <w:p>
            <w:pPr>
              <w:spacing w:before="40" w:after="40" w:line="288" w:lineRule="auto"/>
            </w:pPr>
            <w:r/>
            <w:r>
              <w:rPr>
                <w:rFonts w:ascii="Microsoft YaHei" w:hAnsi="Microsoft YaHei"/>
                <w:sz w:val="18"/>
              </w:rPr>
              <w:t>55/1158</w:t>
            </w:r>
          </w:p>
        </w:tc>
        <w:tc>
          <w:tcPr>
            <w:tcW w:type="dxa" w:w="2266"/>
            <w:shd w:fill="F8F9FA" w:val="clear"/>
          </w:tcPr>
          <w:p>
            <w:pPr>
              <w:spacing w:before="40" w:after="40" w:line="288" w:lineRule="auto"/>
            </w:pPr>
            <w:r/>
            <w:r>
              <w:rPr>
                <w:rFonts w:ascii="Microsoft YaHei" w:hAnsi="Microsoft YaHei"/>
                <w:b/>
                <w:color w:val="1A1A1A"/>
                <w:sz w:val="18"/>
              </w:rPr>
              <w:t>9/26</w:t>
            </w:r>
          </w:p>
        </w:tc>
      </w:tr>
      <w:tr>
        <w:tc>
          <w:tcPr>
            <w:tcW w:type="dxa" w:w="2266"/>
          </w:tcPr>
          <w:p>
            <w:pPr>
              <w:spacing w:before="40" w:after="40" w:line="288" w:lineRule="auto"/>
            </w:pPr>
            <w:r/>
            <w:r>
              <w:rPr>
                <w:rFonts w:ascii="Microsoft YaHei" w:hAnsi="Microsoft YaHei"/>
                <w:sz w:val="18"/>
              </w:rPr>
              <w:t>石油天然气设备与服务(A股)</w:t>
            </w:r>
          </w:p>
        </w:tc>
        <w:tc>
          <w:tcPr>
            <w:tcW w:type="dxa" w:w="2266"/>
          </w:tcPr>
          <w:p>
            <w:pPr>
              <w:spacing w:before="40" w:after="40" w:line="288" w:lineRule="auto"/>
            </w:pPr>
            <w:r/>
            <w:r>
              <w:rPr>
                <w:rFonts w:ascii="Microsoft YaHei" w:hAnsi="Microsoft YaHei"/>
                <w:sz w:val="18"/>
              </w:rPr>
              <w:t>+1.29%</w:t>
            </w:r>
          </w:p>
        </w:tc>
        <w:tc>
          <w:tcPr>
            <w:tcW w:type="dxa" w:w="2266"/>
          </w:tcPr>
          <w:p>
            <w:pPr>
              <w:spacing w:before="40" w:after="40" w:line="288" w:lineRule="auto"/>
            </w:pPr>
            <w:r/>
            <w:r>
              <w:rPr>
                <w:rFonts w:ascii="Microsoft YaHei" w:hAnsi="Microsoft YaHei"/>
                <w:sz w:val="18"/>
              </w:rPr>
              <w:t>96/1158</w:t>
            </w:r>
          </w:p>
        </w:tc>
        <w:tc>
          <w:tcPr>
            <w:tcW w:type="dxa" w:w="2266"/>
          </w:tcPr>
          <w:p>
            <w:pPr>
              <w:spacing w:before="40" w:after="40" w:line="288" w:lineRule="auto"/>
            </w:pPr>
            <w:r/>
            <w:r>
              <w:rPr>
                <w:rFonts w:ascii="Microsoft YaHei" w:hAnsi="Microsoft YaHei"/>
                <w:b/>
                <w:color w:val="1A1A1A"/>
                <w:sz w:val="18"/>
              </w:rPr>
              <w:t>6/22</w:t>
            </w:r>
          </w:p>
        </w:tc>
      </w:tr>
      <w:tr>
        <w:tc>
          <w:tcPr>
            <w:tcW w:type="dxa" w:w="2266"/>
            <w:shd w:fill="F8F9FA" w:val="clear"/>
          </w:tcPr>
          <w:p>
            <w:pPr>
              <w:spacing w:before="40" w:after="40" w:line="288" w:lineRule="auto"/>
            </w:pPr>
            <w:r/>
            <w:r>
              <w:rPr>
                <w:rFonts w:ascii="Microsoft YaHei" w:hAnsi="Microsoft YaHei"/>
                <w:sz w:val="18"/>
              </w:rPr>
              <w:t>海工装备（概念）</w:t>
            </w:r>
          </w:p>
        </w:tc>
        <w:tc>
          <w:tcPr>
            <w:tcW w:type="dxa" w:w="2266"/>
            <w:shd w:fill="F8F9FA" w:val="clear"/>
          </w:tcPr>
          <w:p>
            <w:pPr>
              <w:spacing w:before="40" w:after="40" w:line="288" w:lineRule="auto"/>
            </w:pPr>
            <w:r/>
            <w:r>
              <w:rPr>
                <w:rFonts w:ascii="Microsoft YaHei" w:hAnsi="Microsoft YaHei"/>
                <w:sz w:val="18"/>
              </w:rPr>
              <w:t>-1.91%</w:t>
            </w:r>
          </w:p>
        </w:tc>
        <w:tc>
          <w:tcPr>
            <w:tcW w:type="dxa" w:w="2266"/>
            <w:shd w:fill="F8F9FA" w:val="clear"/>
          </w:tcPr>
          <w:p>
            <w:pPr>
              <w:spacing w:before="40" w:after="40" w:line="288" w:lineRule="auto"/>
            </w:pPr>
            <w:r/>
            <w:r>
              <w:rPr>
                <w:rFonts w:ascii="Microsoft YaHei" w:hAnsi="Microsoft YaHei"/>
                <w:sz w:val="18"/>
              </w:rPr>
              <w:t>619/1158</w:t>
            </w:r>
          </w:p>
        </w:tc>
        <w:tc>
          <w:tcPr>
            <w:tcW w:type="dxa" w:w="2266"/>
            <w:shd w:fill="F8F9FA" w:val="clear"/>
          </w:tcPr>
          <w:p>
            <w:pPr>
              <w:spacing w:before="40" w:after="40" w:line="288" w:lineRule="auto"/>
            </w:pPr>
            <w:r/>
            <w:r>
              <w:rPr>
                <w:rFonts w:ascii="Microsoft YaHei" w:hAnsi="Microsoft YaHei"/>
                <w:b/>
                <w:color w:val="1A1A1A"/>
                <w:sz w:val="18"/>
              </w:rPr>
              <w:t>21/256</w:t>
            </w:r>
          </w:p>
        </w:tc>
      </w:tr>
    </w:tbl>
    <w:p/>
    <w:p>
      <w:r>
        <w:rPr>
          <w:rFonts w:ascii="Microsoft YaHei" w:hAnsi="Microsoft YaHei"/>
          <w:b/>
          <w:color w:val="1A1A1A"/>
        </w:rPr>
        <w:t>板块分析：</w:t>
      </w:r>
    </w:p>
    <w:p>
      <w:pPr>
        <w:pStyle w:val="ListBullet"/>
      </w:pPr>
      <w:r>
        <w:rPr>
          <w:rFonts w:ascii="Microsoft YaHei" w:hAnsi="Microsoft YaHei"/>
        </w:rPr>
        <w:t xml:space="preserve">能源板块（+2.62%）表现强势，板块内 </w:t>
      </w:r>
      <w:r>
        <w:rPr>
          <w:rFonts w:ascii="Microsoft YaHei" w:hAnsi="Microsoft YaHei"/>
          <w:b/>
          <w:color w:val="1A1A1A"/>
        </w:rPr>
        <w:t>通源石油（+16.41%）、潜能恒信（+11.68%）、山东墨龙（+10.01%）</w:t>
      </w:r>
      <w:r>
        <w:rPr>
          <w:rFonts w:ascii="Microsoft YaHei" w:hAnsi="Microsoft YaHei"/>
        </w:rPr>
        <w:t xml:space="preserve"> 等领涨，板块情绪高涨，海油工程（+4.88%）位列板块中上游。</w:t>
      </w:r>
    </w:p>
    <w:p>
      <w:pPr>
        <w:pStyle w:val="ListBullet"/>
      </w:pPr>
      <w:r>
        <w:rPr>
          <w:rFonts w:ascii="Microsoft YaHei" w:hAnsi="Microsoft YaHei"/>
        </w:rPr>
        <w:t xml:space="preserve">在海工装备概念板块整体偏弱（-1.91%）的背景下，海油工程仍逆势录得 </w:t>
      </w:r>
      <w:r>
        <w:rPr>
          <w:rFonts w:ascii="Microsoft YaHei" w:hAnsi="Microsoft YaHei"/>
          <w:b/>
          <w:color w:val="1A1A1A"/>
        </w:rPr>
        <w:t>+4.88%</w:t>
      </w:r>
      <w:r>
        <w:rPr>
          <w:rFonts w:ascii="Microsoft YaHei" w:hAnsi="Microsoft YaHei"/>
        </w:rPr>
        <w:t xml:space="preserve"> 涨幅，体现了个股的独立强势逻辑。</w:t>
      </w:r>
    </w:p>
    <w:p>
      <w:pPr>
        <w:pStyle w:val="ListBullet"/>
      </w:pPr>
      <w:r>
        <w:rPr>
          <w:rFonts w:ascii="Microsoft YaHei" w:hAnsi="Microsoft YaHei"/>
        </w:rPr>
        <w:t>与同属中国海油系的海油发展（+4.88%）走势高度同步，存在显著的板块联动效应。</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判断</w:t>
            </w:r>
          </w:p>
        </w:tc>
      </w:tr>
      <w:tr>
        <w:tc>
          <w:tcPr>
            <w:tcW w:type="dxa" w:w="4533"/>
          </w:tcPr>
          <w:p>
            <w:pPr>
              <w:spacing w:before="40" w:after="40" w:line="288" w:lineRule="auto"/>
            </w:pPr>
            <w:r/>
            <w:r>
              <w:rPr>
                <w:rFonts w:ascii="Microsoft YaHei" w:hAnsi="Microsoft YaHei"/>
                <w:b/>
                <w:color w:val="1A1A1A"/>
                <w:sz w:val="18"/>
              </w:rPr>
              <w:t>整体市场</w:t>
            </w:r>
          </w:p>
        </w:tc>
        <w:tc>
          <w:tcPr>
            <w:tcW w:type="dxa" w:w="4533"/>
          </w:tcPr>
          <w:p>
            <w:pPr>
              <w:spacing w:before="40" w:after="40" w:line="288" w:lineRule="auto"/>
            </w:pPr>
            <w:r/>
            <w:r>
              <w:rPr>
                <w:rFonts w:ascii="Microsoft YaHei" w:hAnsi="Microsoft YaHei"/>
                <w:sz w:val="18"/>
              </w:rPr>
              <w:t>情绪高涨，成交放量，做多氛围浓厚</w:t>
            </w:r>
          </w:p>
        </w:tc>
      </w:tr>
      <w:tr>
        <w:tc>
          <w:tcPr>
            <w:tcW w:type="dxa" w:w="4533"/>
            <w:shd w:fill="F8F9FA" w:val="clear"/>
          </w:tcPr>
          <w:p>
            <w:pPr>
              <w:spacing w:before="40" w:after="40" w:line="288" w:lineRule="auto"/>
            </w:pPr>
            <w:r/>
            <w:r>
              <w:rPr>
                <w:rFonts w:ascii="Microsoft YaHei" w:hAnsi="Microsoft YaHei"/>
                <w:b/>
                <w:color w:val="1A1A1A"/>
                <w:sz w:val="18"/>
              </w:rPr>
              <w:t>个股量价</w:t>
            </w:r>
          </w:p>
        </w:tc>
        <w:tc>
          <w:tcPr>
            <w:tcW w:type="dxa" w:w="4533"/>
            <w:shd w:fill="F8F9FA" w:val="clear"/>
          </w:tcPr>
          <w:p>
            <w:pPr>
              <w:spacing w:before="40" w:after="40" w:line="288" w:lineRule="auto"/>
            </w:pPr>
            <w:r/>
            <w:r>
              <w:rPr>
                <w:rFonts w:ascii="Microsoft YaHei" w:hAnsi="Microsoft YaHei"/>
                <w:sz w:val="18"/>
              </w:rPr>
              <w:t>放量上攻 +4.88%，外盘强于内盘，量比1.81</w:t>
            </w:r>
          </w:p>
        </w:tc>
      </w:tr>
      <w:tr>
        <w:tc>
          <w:tcPr>
            <w:tcW w:type="dxa" w:w="4533"/>
          </w:tcPr>
          <w:p>
            <w:pPr>
              <w:spacing w:before="40" w:after="40" w:line="288" w:lineRule="auto"/>
            </w:pPr>
            <w:r/>
            <w:r>
              <w:rPr>
                <w:rFonts w:ascii="Microsoft YaHei" w:hAnsi="Microsoft YaHei"/>
                <w:b/>
                <w:color w:val="1A1A1A"/>
                <w:sz w:val="18"/>
              </w:rPr>
              <w:t>资金面</w:t>
            </w:r>
          </w:p>
        </w:tc>
        <w:tc>
          <w:tcPr>
            <w:tcW w:type="dxa" w:w="4533"/>
          </w:tcPr>
          <w:p>
            <w:pPr>
              <w:spacing w:before="40" w:after="40" w:line="288" w:lineRule="auto"/>
            </w:pPr>
            <w:r/>
            <w:r>
              <w:rPr>
                <w:rFonts w:ascii="Microsoft YaHei" w:hAnsi="Microsoft YaHei"/>
                <w:sz w:val="18"/>
              </w:rPr>
              <w:t>主力净流入1952万，大单、中单、小单全面净流入</w:t>
            </w:r>
          </w:p>
        </w:tc>
      </w:tr>
      <w:tr>
        <w:tc>
          <w:tcPr>
            <w:tcW w:type="dxa" w:w="4533"/>
            <w:shd w:fill="F8F9FA" w:val="clear"/>
          </w:tcPr>
          <w:p>
            <w:pPr>
              <w:spacing w:before="40" w:after="40" w:line="288" w:lineRule="auto"/>
            </w:pPr>
            <w:r/>
            <w:r>
              <w:rPr>
                <w:rFonts w:ascii="Microsoft YaHei" w:hAnsi="Microsoft YaHei"/>
                <w:b/>
                <w:color w:val="1A1A1A"/>
                <w:sz w:val="18"/>
              </w:rPr>
              <w:t>技术面</w:t>
            </w:r>
          </w:p>
        </w:tc>
        <w:tc>
          <w:tcPr>
            <w:tcW w:type="dxa" w:w="4533"/>
            <w:shd w:fill="F8F9FA" w:val="clear"/>
          </w:tcPr>
          <w:p>
            <w:pPr>
              <w:spacing w:before="40" w:after="40" w:line="288" w:lineRule="auto"/>
            </w:pPr>
            <w:r/>
            <w:r>
              <w:rPr>
                <w:rFonts w:ascii="Microsoft YaHei" w:hAnsi="Microsoft YaHei"/>
                <w:sz w:val="18"/>
              </w:rPr>
              <w:t>站上所有短期均线，紧贴布林上轨5.61元，短期面临突破确认</w:t>
            </w:r>
          </w:p>
        </w:tc>
      </w:tr>
      <w:tr>
        <w:tc>
          <w:tcPr>
            <w:tcW w:type="dxa" w:w="4533"/>
          </w:tcPr>
          <w:p>
            <w:pPr>
              <w:spacing w:before="40" w:after="40" w:line="288" w:lineRule="auto"/>
            </w:pPr>
            <w:r/>
            <w:r>
              <w:rPr>
                <w:rFonts w:ascii="Microsoft YaHei" w:hAnsi="Microsoft YaHei"/>
                <w:b/>
                <w:color w:val="1A1A1A"/>
                <w:sz w:val="18"/>
              </w:rPr>
              <w:t>估值面</w:t>
            </w:r>
          </w:p>
        </w:tc>
        <w:tc>
          <w:tcPr>
            <w:tcW w:type="dxa" w:w="4533"/>
          </w:tcPr>
          <w:p>
            <w:pPr>
              <w:spacing w:before="40" w:after="40" w:line="288" w:lineRule="auto"/>
            </w:pPr>
            <w:r/>
            <w:r>
              <w:rPr>
                <w:rFonts w:ascii="Microsoft YaHei" w:hAnsi="Microsoft YaHei"/>
                <w:sz w:val="18"/>
              </w:rPr>
              <w:t>PB 0.85倍破净，PE 14倍，具备安全边际</w:t>
            </w:r>
          </w:p>
        </w:tc>
      </w:tr>
      <w:tr>
        <w:tc>
          <w:tcPr>
            <w:tcW w:type="dxa" w:w="4533"/>
            <w:shd w:fill="F8F9FA" w:val="clear"/>
          </w:tcPr>
          <w:p>
            <w:pPr>
              <w:spacing w:before="40" w:after="40" w:line="288" w:lineRule="auto"/>
            </w:pPr>
            <w:r/>
            <w:r>
              <w:rPr>
                <w:rFonts w:ascii="Microsoft YaHei" w:hAnsi="Microsoft YaHei"/>
                <w:b/>
                <w:color w:val="1A1A1A"/>
                <w:sz w:val="18"/>
              </w:rPr>
              <w:t>消息面</w:t>
            </w:r>
          </w:p>
        </w:tc>
        <w:tc>
          <w:tcPr>
            <w:tcW w:type="dxa" w:w="4533"/>
            <w:shd w:fill="F8F9FA" w:val="clear"/>
          </w:tcPr>
          <w:p>
            <w:pPr>
              <w:spacing w:before="40" w:after="40" w:line="288" w:lineRule="auto"/>
            </w:pPr>
            <w:r/>
            <w:r>
              <w:rPr>
                <w:rFonts w:ascii="Microsoft YaHei" w:hAnsi="Microsoft YaHei"/>
                <w:sz w:val="18"/>
              </w:rPr>
              <w:t>"擎海"装备交付、管道新技术应用落地，利好共振</w:t>
            </w:r>
          </w:p>
        </w:tc>
      </w:tr>
      <w:tr>
        <w:tc>
          <w:tcPr>
            <w:tcW w:type="dxa" w:w="4533"/>
          </w:tcPr>
          <w:p>
            <w:pPr>
              <w:spacing w:before="40" w:after="40" w:line="288" w:lineRule="auto"/>
            </w:pPr>
            <w:r/>
            <w:r>
              <w:rPr>
                <w:rFonts w:ascii="Microsoft YaHei" w:hAnsi="Microsoft YaHei"/>
                <w:b/>
                <w:color w:val="1A1A1A"/>
                <w:sz w:val="18"/>
              </w:rPr>
              <w:t>板块联动</w:t>
            </w:r>
          </w:p>
        </w:tc>
        <w:tc>
          <w:tcPr>
            <w:tcW w:type="dxa" w:w="4533"/>
          </w:tcPr>
          <w:p>
            <w:pPr>
              <w:spacing w:before="40" w:after="40" w:line="288" w:lineRule="auto"/>
            </w:pPr>
            <w:r/>
            <w:r>
              <w:rPr>
                <w:rFonts w:ascii="Microsoft YaHei" w:hAnsi="Microsoft YaHei"/>
                <w:sz w:val="18"/>
              </w:rPr>
              <w:t>能源板块走强，海工装备概念偏弱但个股独立走强</w:t>
            </w:r>
          </w:p>
        </w:tc>
      </w:tr>
    </w:tbl>
    <w:p/>
    <w:p>
      <w:r>
        <w:rPr>
          <w:rFonts w:ascii="Microsoft YaHei" w:hAnsi="Microsoft YaHei"/>
          <w:b/>
          <w:color w:val="1A1A1A"/>
        </w:rPr>
        <w:t>主力观点：</w:t>
      </w:r>
      <w:r>
        <w:rPr>
          <w:rFonts w:ascii="Microsoft YaHei" w:hAnsi="Microsoft YaHei"/>
        </w:rPr>
        <w:t xml:space="preserve"> 海油工程今日强势放量上攻，资金面呈现 </w:t>
      </w:r>
      <w:r>
        <w:rPr>
          <w:rFonts w:ascii="Microsoft YaHei" w:hAnsi="Microsoft YaHei"/>
          <w:b/>
          <w:color w:val="1A1A1A"/>
        </w:rPr>
        <w:t>"大单主导、全类型净流入"</w:t>
      </w:r>
      <w:r>
        <w:rPr>
          <w:rFonts w:ascii="Microsoft YaHei" w:hAnsi="Microsoft YaHei"/>
        </w:rPr>
        <w:t xml:space="preserve"> 的健康格局。产业端"擎海"装备交付与新技术的落地应用构成短期催化，叠加能源板块整体走强，个股走出独立上涨行情。当前PB仅0.85倍的安全边际提供了估值支撑。午后关注 </w:t>
      </w:r>
      <w:r>
        <w:rPr>
          <w:rFonts w:ascii="Microsoft YaHei" w:hAnsi="Microsoft YaHei"/>
          <w:b/>
          <w:color w:val="1A1A1A"/>
        </w:rPr>
        <w:t>5.61元（布林上轨）</w:t>
      </w:r>
      <w:r>
        <w:rPr>
          <w:rFonts w:ascii="Microsoft YaHei" w:hAnsi="Microsoft YaHei"/>
        </w:rPr>
        <w:t xml:space="preserve"> 能否有效站稳突破，若能放量站上布林上轨则行情有望延续；若遇阻回落，短期均线多头排列仍提供支撑。整体来看，</w:t>
      </w:r>
      <w:r>
        <w:rPr>
          <w:rFonts w:ascii="Microsoft YaHei" w:hAnsi="Microsoft YaHei"/>
          <w:b/>
          <w:color w:val="1A1A1A"/>
        </w:rPr>
        <w:t>中期趋势偏乐观</w:t>
      </w:r>
      <w:r>
        <w:rPr>
          <w:rFonts w:ascii="Microsoft YaHei" w:hAnsi="Microsoft YaHei"/>
        </w:rPr>
        <w:t>。</w:t>
      </w:r>
    </w:p>
    <w:p>
      <w:pPr>
        <w:spacing w:before="240" w:after="240"/>
        <w:pBdr>
          <w:bottom w:val="single" w:sz="4" w:space="1" w:color="D0D7DE"/>
        </w:pBdr>
      </w:pPr>
    </w:p>
    <w:p>
      <w:r>
        <w:rPr>
          <w:rFonts w:ascii="Microsoft YaHei" w:hAnsi="Microsoft YaHei"/>
        </w:rPr>
        <w:t xml:space="preserve">&gt; ⚠️ </w:t>
      </w:r>
      <w:r>
        <w:rPr>
          <w:rFonts w:ascii="Microsoft YaHei" w:hAnsi="Microsoft YaHei"/>
          <w:b/>
          <w:color w:val="1A1A1A"/>
        </w:rPr>
        <w:t>风险提示</w:t>
      </w:r>
      <w:r>
        <w:rPr>
          <w:rFonts w:ascii="Microsoft YaHei" w:hAnsi="Microsoft YaHei"/>
        </w:rPr>
        <w:t>：本报告基于公开数据分析，不构成投资建议。股市有风险，投资需谨慎。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海油工程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