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好的，所有数据已获取完毕。下面我基于完整信息撰写午间分析报告。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海螺水泥（600585.SH）午间分析报告</w:t>
      </w:r>
    </w:p>
    <w:p>
      <w:r>
        <w:rPr>
          <w:rFonts w:ascii="Microsoft YaHei" w:hAnsi="Microsoft YaHei"/>
        </w:rPr>
        <w:t>&gt; 报告时间：2026年7月28日 11:30 | 数据截止：午间收盘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全市场情绪指数 </w:t>
      </w:r>
      <w:r>
        <w:rPr>
          <w:rFonts w:ascii="Microsoft YaHei" w:hAnsi="Microsoft YaHei"/>
          <w:b/>
          <w:color w:val="1A1A1A"/>
        </w:rPr>
        <w:t>43（一般）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2.03万亿元</w:t>
      </w:r>
      <w:r>
        <w:rPr>
          <w:rFonts w:ascii="Microsoft YaHei" w:hAnsi="Microsoft YaHei"/>
        </w:rPr>
        <w:t xml:space="preserve">（缩量约508亿）。上涨家数 </w:t>
      </w:r>
      <w:r>
        <w:rPr>
          <w:rFonts w:ascii="Microsoft YaHei" w:hAnsi="Microsoft YaHei"/>
          <w:b/>
          <w:color w:val="1A1A1A"/>
        </w:rPr>
        <w:t>2603家</w:t>
      </w:r>
      <w:r>
        <w:rPr>
          <w:rFonts w:ascii="Microsoft YaHei" w:hAnsi="Microsoft YaHei"/>
        </w:rPr>
        <w:t xml:space="preserve"> 略少于下跌家数 </w:t>
      </w:r>
      <w:r>
        <w:rPr>
          <w:rFonts w:ascii="Microsoft YaHei" w:hAnsi="Microsoft YaHei"/>
          <w:b/>
          <w:color w:val="1A1A1A"/>
        </w:rPr>
        <w:t>2769家</w:t>
      </w:r>
      <w:r>
        <w:rPr>
          <w:rFonts w:ascii="Microsoft YaHei" w:hAnsi="Microsoft YaHei"/>
        </w:rPr>
        <w:t xml:space="preserve">，赚钱效应仅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，显示市场整体赚钱难度较大。涨停梯队方面，一板 </w:t>
      </w:r>
      <w:r>
        <w:rPr>
          <w:rFonts w:ascii="Microsoft YaHei" w:hAnsi="Microsoft YaHei"/>
          <w:b/>
          <w:color w:val="1A1A1A"/>
        </w:rPr>
        <w:t>45只</w:t>
      </w:r>
      <w:r>
        <w:rPr>
          <w:rFonts w:ascii="Microsoft YaHei" w:hAnsi="Microsoft YaHei"/>
        </w:rPr>
        <w:t xml:space="preserve">（晋级率13%）、二板 </w:t>
      </w:r>
      <w:r>
        <w:rPr>
          <w:rFonts w:ascii="Microsoft YaHei" w:hAnsi="Microsoft YaHei"/>
          <w:b/>
          <w:color w:val="1A1A1A"/>
        </w:rPr>
        <w:t>13只</w:t>
      </w:r>
      <w:r>
        <w:rPr>
          <w:rFonts w:ascii="Microsoft YaHei" w:hAnsi="Microsoft YaHei"/>
        </w:rPr>
        <w:t xml:space="preserve">（晋级率33%）、高度板仅 </w:t>
      </w:r>
      <w:r>
        <w:rPr>
          <w:rFonts w:ascii="Microsoft YaHei" w:hAnsi="Microsoft YaHei"/>
          <w:b/>
          <w:color w:val="1A1A1A"/>
        </w:rPr>
        <w:t>2只</w:t>
      </w:r>
      <w:r>
        <w:rPr>
          <w:rFonts w:ascii="Microsoft YaHei" w:hAnsi="Microsoft YaHei"/>
        </w:rPr>
        <w:t>，短线情绪偏弱。</w:t>
      </w:r>
    </w:p>
    <w:p>
      <w:r>
        <w:rPr>
          <w:rFonts w:ascii="Microsoft YaHei" w:hAnsi="Microsoft YaHei"/>
        </w:rPr>
        <w:t xml:space="preserve">在此背景下，海螺水泥走出独立行情，午间收报 </w:t>
      </w:r>
      <w:r>
        <w:rPr>
          <w:rFonts w:ascii="Microsoft YaHei" w:hAnsi="Microsoft YaHei"/>
          <w:b/>
          <w:color w:val="1A1A1A"/>
        </w:rPr>
        <w:t>17.82元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+0.85%</w:t>
      </w:r>
      <w:r>
        <w:rPr>
          <w:rFonts w:ascii="Microsoft YaHei" w:hAnsi="Microsoft YaHei"/>
        </w:rPr>
        <w:t>，明显跑赢所属板块及大盘。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17.82元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+0.85%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17.49 / 17.84 / 17.41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2.43%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42.59万手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7.54亿元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1.07%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1.19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16.02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0.49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940.37亿元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关键观察：</w:t>
      </w:r>
    </w:p>
    <w:p>
      <w:pPr>
        <w:pStyle w:val="ListBullet"/>
      </w:pPr>
      <w:r>
        <w:rPr>
          <w:rFonts w:ascii="Microsoft YaHei" w:hAnsi="Microsoft YaHei"/>
        </w:rPr>
        <w:t xml:space="preserve">股价以 </w:t>
      </w:r>
      <w:r>
        <w:rPr>
          <w:rFonts w:ascii="Microsoft YaHei" w:hAnsi="Microsoft YaHei"/>
          <w:b/>
          <w:color w:val="1A1A1A"/>
        </w:rPr>
        <w:t>17.49元低开</w:t>
      </w:r>
      <w:r>
        <w:rPr>
          <w:rFonts w:ascii="Microsoft YaHei" w:hAnsi="Microsoft YaHei"/>
        </w:rPr>
        <w:t xml:space="preserve"> 后迅速拉升，盘中最高触及 </w:t>
      </w:r>
      <w:r>
        <w:rPr>
          <w:rFonts w:ascii="Microsoft YaHei" w:hAnsi="Microsoft YaHei"/>
          <w:b/>
          <w:color w:val="1A1A1A"/>
        </w:rPr>
        <w:t>17.84元</w:t>
      </w:r>
      <w:r>
        <w:rPr>
          <w:rFonts w:ascii="Microsoft YaHei" w:hAnsi="Microsoft YaHei"/>
        </w:rPr>
        <w:t xml:space="preserve">，振幅达 </w:t>
      </w:r>
      <w:r>
        <w:rPr>
          <w:rFonts w:ascii="Microsoft YaHei" w:hAnsi="Microsoft YaHei"/>
          <w:b/>
          <w:color w:val="1A1A1A"/>
        </w:rPr>
        <w:t>2.43%</w:t>
      </w:r>
      <w:r>
        <w:rPr>
          <w:rFonts w:ascii="Microsoft YaHei" w:hAnsi="Microsoft YaHei"/>
        </w:rPr>
        <w:t>，说明盘中多空博弈较为激烈。</w:t>
      </w:r>
    </w:p>
    <w:p>
      <w:pPr>
        <w:pStyle w:val="ListBullet"/>
      </w:pPr>
      <w:r>
        <w:rPr>
          <w:rFonts w:ascii="Microsoft YaHei" w:hAnsi="Microsoft YaHei"/>
        </w:rPr>
        <w:t xml:space="preserve">今日午间换手率 </w:t>
      </w:r>
      <w:r>
        <w:rPr>
          <w:rFonts w:ascii="Microsoft YaHei" w:hAnsi="Microsoft YaHei"/>
          <w:b/>
          <w:color w:val="1A1A1A"/>
        </w:rPr>
        <w:t>1.07%</w:t>
      </w:r>
      <w:r>
        <w:rPr>
          <w:rFonts w:ascii="Microsoft YaHei" w:hAnsi="Microsoft YaHei"/>
        </w:rPr>
        <w:t xml:space="preserve">，相较于上一个交易日全天换手率 </w:t>
      </w:r>
      <w:r>
        <w:rPr>
          <w:rFonts w:ascii="Microsoft YaHei" w:hAnsi="Microsoft YaHei"/>
          <w:b/>
          <w:color w:val="1A1A1A"/>
        </w:rPr>
        <w:t>0.6302%</w:t>
      </w:r>
      <w:r>
        <w:rPr>
          <w:rFonts w:ascii="Microsoft YaHei" w:hAnsi="Microsoft YaHei"/>
        </w:rPr>
        <w:t xml:space="preserve"> 显著放量（</w:t>
      </w:r>
      <w:r>
        <w:rPr>
          <w:rFonts w:ascii="Microsoft YaHei" w:hAnsi="Microsoft YaHei"/>
          <w:b/>
          <w:color w:val="1A1A1A"/>
        </w:rPr>
        <w:t>放量比1.70倍</w:t>
      </w:r>
      <w:r>
        <w:rPr>
          <w:rFonts w:ascii="Microsoft YaHei" w:hAnsi="Microsoft YaHei"/>
        </w:rPr>
        <w:t xml:space="preserve">），半日已完成昨日全天成交的 </w:t>
      </w:r>
      <w:r>
        <w:rPr>
          <w:rFonts w:ascii="Microsoft YaHei" w:hAnsi="Microsoft YaHei"/>
          <w:b/>
          <w:color w:val="1A1A1A"/>
        </w:rPr>
        <w:t>1.7倍</w:t>
      </w:r>
      <w:r>
        <w:rPr>
          <w:rFonts w:ascii="Microsoft YaHei" w:hAnsi="Microsoft YaHei"/>
        </w:rPr>
        <w:t xml:space="preserve">，加上量比 </w:t>
      </w:r>
      <w:r>
        <w:rPr>
          <w:rFonts w:ascii="Microsoft YaHei" w:hAnsi="Microsoft YaHei"/>
          <w:b/>
          <w:color w:val="1A1A1A"/>
        </w:rPr>
        <w:t>1.19</w:t>
      </w:r>
      <w:r>
        <w:rPr>
          <w:rFonts w:ascii="Microsoft YaHei" w:hAnsi="Microsoft YaHei"/>
        </w:rPr>
        <w:t>，显示资金参与活跃度明显提升。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逐分钟资金流向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统计分钟数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242分钟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6,298.38万元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138分钟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100分钟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874.0万元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1,315.5万元</w:t>
            </w:r>
          </w:p>
        </w:tc>
      </w:tr>
    </w:tbl>
    <w:p/>
    <w:p>
      <w:r>
        <w:rPr>
          <w:rFonts w:ascii="Microsoft YaHei" w:hAnsi="Microsoft YaHei"/>
        </w:rPr>
        <w:t xml:space="preserve">资金流入时间占比约 </w:t>
      </w:r>
      <w:r>
        <w:rPr>
          <w:rFonts w:ascii="Microsoft YaHei" w:hAnsi="Microsoft YaHei"/>
          <w:b/>
          <w:color w:val="1A1A1A"/>
        </w:rPr>
        <w:t>57%</w:t>
      </w:r>
      <w:r>
        <w:rPr>
          <w:rFonts w:ascii="Microsoft YaHei" w:hAnsi="Microsoft YaHei"/>
        </w:rPr>
        <w:t xml:space="preserve">，净流入近 </w:t>
      </w:r>
      <w:r>
        <w:rPr>
          <w:rFonts w:ascii="Microsoft YaHei" w:hAnsi="Microsoft YaHei"/>
          <w:b/>
          <w:color w:val="1A1A1A"/>
        </w:rPr>
        <w:t>6300万元</w:t>
      </w:r>
      <w:r>
        <w:rPr>
          <w:rFonts w:ascii="Microsoft YaHei" w:hAnsi="Microsoft YaHei"/>
        </w:rPr>
        <w:t>，日内主动性买盘占优。但最大单分钟流出（1315.5万）高于最大单分钟流入（874万），说明盘中存在间歇性的大额抛压。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+1,961.71万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+4,274.78万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+61.89万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+6,298.38万</w:t>
            </w:r>
          </w:p>
        </w:tc>
      </w:tr>
    </w:tbl>
    <w:p/>
    <w:p>
      <w:r>
        <w:rPr>
          <w:rFonts w:ascii="Microsoft YaHei" w:hAnsi="Microsoft YaHei"/>
        </w:rPr>
        <w:t>大单与中单均呈现净流入，其中中单资金净流入规模最大。整体资金结构相对健康。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融资融券动态</w:t>
      </w:r>
    </w:p>
    <w:p>
      <w:r>
        <w:rPr>
          <w:rFonts w:ascii="Microsoft YaHei" w:hAnsi="Microsoft YaHei"/>
        </w:rPr>
        <w:t>根据最新融资数据（截至7月27日）：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融资余额：16.26亿元</w:t>
      </w:r>
      <w:r>
        <w:rPr>
          <w:rFonts w:ascii="Microsoft YaHei" w:hAnsi="Microsoft YaHei"/>
        </w:rPr>
        <w:t xml:space="preserve">（较前日+0.47%），占流通市值 </w:t>
      </w:r>
      <w:r>
        <w:rPr>
          <w:rFonts w:ascii="Microsoft YaHei" w:hAnsi="Microsoft YaHei"/>
          <w:b/>
          <w:color w:val="1A1A1A"/>
        </w:rPr>
        <w:t>2.30%</w:t>
      </w:r>
      <w:r>
        <w:rPr>
          <w:rFonts w:ascii="Microsoft YaHei" w:hAnsi="Microsoft YaHei"/>
        </w:rPr>
        <w:t xml:space="preserve">，超过近一年 </w:t>
      </w:r>
      <w:r>
        <w:rPr>
          <w:rFonts w:ascii="Microsoft YaHei" w:hAnsi="Microsoft YaHei"/>
          <w:b/>
          <w:color w:val="1A1A1A"/>
        </w:rPr>
        <w:t>80%分位</w:t>
      </w:r>
      <w:r>
        <w:rPr>
          <w:rFonts w:ascii="Microsoft YaHei" w:hAnsi="Microsoft YaHei"/>
        </w:rPr>
        <w:t>，处于高位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融券余额：0.09亿元</w:t>
      </w:r>
      <w:r>
        <w:rPr>
          <w:rFonts w:ascii="Microsoft YaHei" w:hAnsi="Microsoft YaHei"/>
        </w:rPr>
        <w:t xml:space="preserve">（较前日-0.96%），融券余量 </w:t>
      </w:r>
      <w:r>
        <w:rPr>
          <w:rFonts w:ascii="Microsoft YaHei" w:hAnsi="Microsoft YaHei"/>
          <w:b/>
          <w:color w:val="1A1A1A"/>
        </w:rPr>
        <w:t>51.34万股</w:t>
      </w:r>
      <w:r>
        <w:rPr>
          <w:rFonts w:ascii="Microsoft YaHei" w:hAnsi="Microsoft YaHei"/>
        </w:rPr>
        <w:t xml:space="preserve">，超过近一年 </w:t>
      </w:r>
      <w:r>
        <w:rPr>
          <w:rFonts w:ascii="Microsoft YaHei" w:hAnsi="Microsoft YaHei"/>
          <w:b/>
          <w:color w:val="1A1A1A"/>
        </w:rPr>
        <w:t>90%分位</w:t>
      </w:r>
    </w:p>
    <w:p>
      <w:r>
        <w:rPr>
          <w:rFonts w:ascii="Microsoft YaHei" w:hAnsi="Microsoft YaHei"/>
        </w:rPr>
        <w:t xml:space="preserve">融资余额高位说明杠杆资金参与热情较高，但融券余额同样处于高位（超近一年90%分位），市场对后市存在 </w:t>
      </w:r>
      <w:r>
        <w:rPr>
          <w:rFonts w:ascii="Microsoft YaHei" w:hAnsi="Microsoft YaHei"/>
          <w:b/>
          <w:color w:val="1A1A1A"/>
        </w:rPr>
        <w:t>显著分歧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17.82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MA5（~17.78）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价格紧贴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MA10（~17.52）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MA20/布林中轨（~17.18）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18.10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距上轨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16.26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距下轨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9.6%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技术形态解读：</w:t>
      </w:r>
    </w:p>
    <w:p>
      <w:pPr>
        <w:pStyle w:val="ListBullet"/>
      </w:pPr>
      <w:r>
        <w:rPr>
          <w:rFonts w:ascii="Microsoft YaHei" w:hAnsi="Microsoft YaHei"/>
        </w:rPr>
        <w:t xml:space="preserve">股价站上 </w:t>
      </w:r>
      <w:r>
        <w:rPr>
          <w:rFonts w:ascii="Microsoft YaHei" w:hAnsi="Microsoft YaHei"/>
          <w:b/>
          <w:color w:val="1A1A1A"/>
        </w:rPr>
        <w:t>MA5 / MA10 / MA20</w:t>
      </w:r>
      <w:r>
        <w:rPr>
          <w:rFonts w:ascii="Microsoft YaHei" w:hAnsi="Microsoft YaHei"/>
        </w:rPr>
        <w:t xml:space="preserve"> 三条均线，短期多头排列初步形成</w:t>
      </w:r>
    </w:p>
    <w:p>
      <w:pPr>
        <w:pStyle w:val="ListBullet"/>
      </w:pPr>
      <w:r>
        <w:rPr>
          <w:rFonts w:ascii="Microsoft YaHei" w:hAnsi="Microsoft YaHei"/>
        </w:rPr>
        <w:t xml:space="preserve">股价位于布林带 </w:t>
      </w:r>
      <w:r>
        <w:rPr>
          <w:rFonts w:ascii="Microsoft YaHei" w:hAnsi="Microsoft YaHei"/>
          <w:b/>
          <w:color w:val="1A1A1A"/>
        </w:rPr>
        <w:t>中轨与上轨之间</w:t>
      </w:r>
      <w:r>
        <w:rPr>
          <w:rFonts w:ascii="Microsoft YaHei" w:hAnsi="Microsoft YaHei"/>
        </w:rPr>
        <w:t xml:space="preserve">，属强势区域，距上轨 </w:t>
      </w:r>
      <w:r>
        <w:rPr>
          <w:rFonts w:ascii="Microsoft YaHei" w:hAnsi="Microsoft YaHei"/>
          <w:b/>
          <w:color w:val="1A1A1A"/>
        </w:rPr>
        <w:t>18.10元</w:t>
      </w:r>
      <w:r>
        <w:rPr>
          <w:rFonts w:ascii="Microsoft YaHei" w:hAnsi="Microsoft YaHei"/>
        </w:rPr>
        <w:t xml:space="preserve"> 仅 </w:t>
      </w:r>
      <w:r>
        <w:rPr>
          <w:rFonts w:ascii="Microsoft YaHei" w:hAnsi="Microsoft YaHei"/>
          <w:b/>
          <w:color w:val="1A1A1A"/>
        </w:rPr>
        <w:t>1.6%</w:t>
      </w:r>
      <w:r>
        <w:rPr>
          <w:rFonts w:ascii="Microsoft YaHei" w:hAnsi="Microsoft YaHei"/>
        </w:rPr>
        <w:t>，上方空间有限</w:t>
      </w:r>
    </w:p>
    <w:p>
      <w:pPr>
        <w:pStyle w:val="ListBullet"/>
      </w:pPr>
      <w:r>
        <w:rPr>
          <w:rFonts w:ascii="Microsoft YaHei" w:hAnsi="Microsoft YaHei"/>
        </w:rPr>
        <w:t>MA5（17.78）为日内第一支撑位，若午后站稳则有望向上轨发起试探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关键公告与解读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翌日披露报表（7月28日公告）</w:t>
      </w:r>
    </w:p>
    <w:p>
      <w:r>
        <w:rPr>
          <w:rFonts w:ascii="Microsoft YaHei" w:hAnsi="Microsoft YaHei"/>
        </w:rPr>
        <w:t xml:space="preserve">   - 港交所常规披露文件，属例行程序，对股价无重大影响。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融资数据披露（7月27日）</w:t>
      </w:r>
    </w:p>
    <w:p>
      <w:r>
        <w:rPr>
          <w:rFonts w:ascii="Microsoft YaHei" w:hAnsi="Microsoft YaHei"/>
        </w:rPr>
        <w:t xml:space="preserve">   - 融资余额 </w:t>
      </w:r>
      <w:r>
        <w:rPr>
          <w:rFonts w:ascii="Microsoft YaHei" w:hAnsi="Microsoft YaHei"/>
          <w:b/>
          <w:color w:val="1A1A1A"/>
        </w:rPr>
        <w:t>16.26亿元</w:t>
      </w:r>
      <w:r>
        <w:rPr>
          <w:rFonts w:ascii="Microsoft YaHei" w:hAnsi="Microsoft YaHei"/>
        </w:rPr>
        <w:t xml:space="preserve">，占流通市值比例 </w:t>
      </w:r>
      <w:r>
        <w:rPr>
          <w:rFonts w:ascii="Microsoft YaHei" w:hAnsi="Microsoft YaHei"/>
          <w:b/>
          <w:color w:val="1A1A1A"/>
        </w:rPr>
        <w:t>2.30%</w:t>
      </w:r>
      <w:r>
        <w:rPr>
          <w:rFonts w:ascii="Microsoft YaHei" w:hAnsi="Microsoft YaHei"/>
        </w:rPr>
        <w:t>，处于近一年高位。但融券同样处于高位，多空分歧明显。</w:t>
      </w:r>
    </w:p>
    <w:p>
      <w:r>
        <w:rPr>
          <w:rFonts w:ascii="Microsoft YaHei" w:hAnsi="Microsoft YaHei"/>
        </w:rPr>
        <w:t xml:space="preserve">   - 一季度业绩：营收 </w:t>
      </w:r>
      <w:r>
        <w:rPr>
          <w:rFonts w:ascii="Microsoft YaHei" w:hAnsi="Microsoft YaHei"/>
          <w:b/>
          <w:color w:val="1A1A1A"/>
        </w:rPr>
        <w:t>170.66亿元</w:t>
      </w:r>
      <w:r>
        <w:rPr>
          <w:rFonts w:ascii="Microsoft YaHei" w:hAnsi="Microsoft YaHei"/>
        </w:rPr>
        <w:t xml:space="preserve">（同比-10.42%），归母净利润 </w:t>
      </w:r>
      <w:r>
        <w:rPr>
          <w:rFonts w:ascii="Microsoft YaHei" w:hAnsi="Microsoft YaHei"/>
          <w:b/>
          <w:color w:val="1A1A1A"/>
        </w:rPr>
        <w:t>14.68亿元</w:t>
      </w:r>
      <w:r>
        <w:rPr>
          <w:rFonts w:ascii="Microsoft YaHei" w:hAnsi="Microsoft YaHei"/>
        </w:rPr>
        <w:t>（同比-18.92%），基本面承压。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概念属性</w:t>
      </w:r>
    </w:p>
    <w:p>
      <w:r>
        <w:rPr>
          <w:rFonts w:ascii="Microsoft YaHei" w:hAnsi="Microsoft YaHei"/>
        </w:rPr>
        <w:t xml:space="preserve">   - 具备 </w:t>
      </w:r>
      <w:r>
        <w:rPr>
          <w:rFonts w:ascii="Microsoft YaHei" w:hAnsi="Microsoft YaHei"/>
          <w:b/>
          <w:color w:val="1A1A1A"/>
        </w:rPr>
        <w:t>证金持股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水泥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一带一路</w:t>
      </w:r>
      <w:r>
        <w:rPr>
          <w:rFonts w:ascii="Microsoft YaHei" w:hAnsi="Microsoft YaHei"/>
        </w:rPr>
        <w:t xml:space="preserve"> 等多重概念标签。</w:t>
      </w:r>
    </w:p>
    <w:p>
      <w:r>
        <w:rPr>
          <w:rFonts w:ascii="Microsoft YaHei" w:hAnsi="Microsoft YaHei"/>
        </w:rPr>
        <w:t xml:space="preserve">   - 公司已在印尼、柬埔寨、老挝、缅甸、乌兹别克斯坦等 "一带一路" 沿线国家建有工厂，国际化布局较为完善。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 xml:space="preserve">海螺水泥今日走势明显 </w:t>
      </w:r>
      <w:r>
        <w:rPr>
          <w:rFonts w:ascii="Microsoft YaHei" w:hAnsi="Microsoft YaHei"/>
          <w:b/>
          <w:color w:val="1A1A1A"/>
        </w:rPr>
        <w:t>强于所属板块</w:t>
      </w:r>
      <w:r>
        <w:rPr>
          <w:rFonts w:ascii="Microsoft YaHei" w:hAnsi="Microsoft YaHei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建筑材料Ⅲ（A股）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-2.16%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8/38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原材料（A股）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-3.14%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170/791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236/319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151/197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建筑材料板块整体下跌 </w:t>
      </w:r>
      <w:r>
        <w:rPr>
          <w:rFonts w:ascii="Microsoft YaHei" w:hAnsi="Microsoft YaHei"/>
          <w:b/>
          <w:color w:val="1A1A1A"/>
        </w:rPr>
        <w:t>-2.16%</w:t>
      </w:r>
      <w:r>
        <w:rPr>
          <w:rFonts w:ascii="Microsoft YaHei" w:hAnsi="Microsoft YaHei"/>
        </w:rPr>
        <w:t xml:space="preserve">，板块内 </w:t>
      </w:r>
      <w:r>
        <w:rPr>
          <w:rFonts w:ascii="Microsoft YaHei" w:hAnsi="Microsoft YaHei"/>
          <w:b/>
          <w:color w:val="1A1A1A"/>
        </w:rPr>
        <w:t>9涨28跌</w:t>
      </w:r>
      <w:r>
        <w:rPr>
          <w:rFonts w:ascii="Microsoft YaHei" w:hAnsi="Microsoft YaHei"/>
        </w:rPr>
        <w:t xml:space="preserve">，海螺水泥逆势上涨 </w:t>
      </w:r>
      <w:r>
        <w:rPr>
          <w:rFonts w:ascii="Microsoft YaHei" w:hAnsi="Microsoft YaHei"/>
          <w:b/>
          <w:color w:val="1A1A1A"/>
        </w:rPr>
        <w:t>+0.85%</w:t>
      </w:r>
      <w:r>
        <w:rPr>
          <w:rFonts w:ascii="Microsoft YaHei" w:hAnsi="Microsoft YaHei"/>
        </w:rPr>
        <w:t xml:space="preserve">，在板块内排名第 </w:t>
      </w:r>
      <w:r>
        <w:rPr>
          <w:rFonts w:ascii="Microsoft YaHei" w:hAnsi="Microsoft YaHei"/>
          <w:b/>
          <w:color w:val="1A1A1A"/>
        </w:rPr>
        <w:t>8/38位</w:t>
      </w:r>
      <w:r>
        <w:rPr>
          <w:rFonts w:ascii="Microsoft YaHei" w:hAnsi="Microsoft YaHei"/>
        </w:rPr>
        <w:t>，表现亮眼。</w:t>
      </w:r>
    </w:p>
    <w:p>
      <w:pPr>
        <w:pStyle w:val="ListBullet"/>
      </w:pPr>
      <w:r>
        <w:rPr>
          <w:rFonts w:ascii="Microsoft YaHei" w:hAnsi="Microsoft YaHei"/>
        </w:rPr>
        <w:t xml:space="preserve">沪深300指数上涨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>，该股涨幅略低于指数，但在板块弱势背景下已属不易。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量价配合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放量上涨，量比1.19，换手率半日已达昨日全天1.7倍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资金流向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净流入约6300万元，大单中单均呈净流入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技术形态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站上MA5/MA10/MA20，布林带中轨上方运行，偏多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融资情绪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融资高位（超80%分位），融券亦在高位（超90%分位），多空分歧大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板块对比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逆建筑材料板块-2.16%而涨，凸显相对强势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基本面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Q1营收同比-10.42%，净利润同比-18.92%，业绩承压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  <w:r>
        <w:rPr>
          <w:rFonts w:ascii="Microsoft YaHei" w:hAnsi="Microsoft YaHei"/>
        </w:rPr>
        <w:t xml:space="preserve"> 海螺水泥今日呈现 </w:t>
      </w:r>
      <w:r>
        <w:rPr>
          <w:rFonts w:ascii="Microsoft YaHei" w:hAnsi="Microsoft YaHei"/>
          <w:b/>
          <w:color w:val="1A1A1A"/>
        </w:rPr>
        <w:t>逆板块走强</w:t>
      </w:r>
      <w:r>
        <w:rPr>
          <w:rFonts w:ascii="Microsoft YaHei" w:hAnsi="Microsoft YaHei"/>
        </w:rPr>
        <w:t xml:space="preserve"> 特征。在建筑材料板块整体下跌逾2%的背景下，股价低开高走收涨0.85%，半日成交量即超昨日全天，主力资金净流入约6300万元，显示 </w:t>
      </w:r>
      <w:r>
        <w:rPr>
          <w:rFonts w:ascii="Microsoft YaHei" w:hAnsi="Microsoft YaHei"/>
          <w:b/>
          <w:color w:val="1A1A1A"/>
        </w:rPr>
        <w:t>大资金主动承接意愿较强</w:t>
      </w:r>
      <w:r>
        <w:rPr>
          <w:rFonts w:ascii="Microsoft YaHei" w:hAnsi="Microsoft YaHei"/>
        </w:rPr>
        <w:t>。技术面短期均线多头排列，呈偏多格局。</w:t>
      </w:r>
    </w:p>
    <w:p>
      <w:r>
        <w:rPr>
          <w:rFonts w:ascii="Microsoft YaHei" w:hAnsi="Microsoft YaHei"/>
        </w:rPr>
        <w:t xml:space="preserve">但需注意：① 融资余额及融券余量均处于近一年高位，多空分歧显著；② 一季度基本面仍承压，业绩拐点尚待确认；③ 股价距布林上轨仅1.6%，上方空间有限，若量能无法持续放大，需警惕 </w:t>
      </w:r>
      <w:r>
        <w:rPr>
          <w:rFonts w:ascii="Microsoft YaHei" w:hAnsi="Microsoft YaHei"/>
          <w:b/>
          <w:color w:val="1A1A1A"/>
        </w:rPr>
        <w:t>冲高回落</w:t>
      </w:r>
      <w:r>
        <w:rPr>
          <w:rFonts w:ascii="Microsoft YaHei" w:hAnsi="Microsoft YaHei"/>
        </w:rPr>
        <w:t xml:space="preserve"> 风险。午后关注 </w:t>
      </w:r>
      <w:r>
        <w:rPr>
          <w:rFonts w:ascii="Microsoft YaHei" w:hAnsi="Microsoft YaHei"/>
          <w:b/>
          <w:color w:val="1A1A1A"/>
        </w:rPr>
        <w:t>MA5（~17.78）</w:t>
      </w:r>
      <w:r>
        <w:rPr>
          <w:rFonts w:ascii="Microsoft YaHei" w:hAnsi="Microsoft YaHei"/>
        </w:rPr>
        <w:t xml:space="preserve"> 的支撑有效性及能否放量突破 </w:t>
      </w:r>
      <w:r>
        <w:rPr>
          <w:rFonts w:ascii="Microsoft YaHei" w:hAnsi="Microsoft YaHei"/>
          <w:b/>
          <w:color w:val="1A1A1A"/>
        </w:rPr>
        <w:t>布林上轨18.10元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以上分析基于公开数据整理，不构成投资建议。股市有风险，投资需谨慎。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海螺水泥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