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王府井（600859.SH）午间分析报告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: 2026-07-29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: 9.90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: +0.92%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今日全市场情绪偏暖，沪指成交额达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），上涨个股 </w:t>
      </w:r>
      <w:r>
        <w:rPr>
          <w:rFonts w:ascii="Microsoft YaHei" w:hAnsi="Microsoft YaHei"/>
          <w:b/>
          <w:color w:val="1A1A1A"/>
        </w:rPr>
        <w:t>3,404只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。市场人气评分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>，涨停梯队方面一板50只（晋级率7%），情绪尚可。</w:t>
      </w:r>
    </w:p>
    <w:p>
      <w:r>
        <w:rPr>
          <w:rFonts w:ascii="Microsoft YaHei" w:hAnsi="Microsoft YaHei"/>
        </w:rPr>
        <w:t xml:space="preserve">王府井所属的 </w:t>
      </w:r>
      <w:r>
        <w:rPr>
          <w:rFonts w:ascii="Microsoft YaHei" w:hAnsi="Microsoft YaHei"/>
          <w:b/>
          <w:color w:val="1A1A1A"/>
        </w:rPr>
        <w:t>商业零售板块</w:t>
      </w:r>
      <w:r>
        <w:rPr>
          <w:rFonts w:ascii="Microsoft YaHei" w:hAnsi="Microsoft YaHei"/>
        </w:rPr>
        <w:t xml:space="preserve"> 今日表现突出，板块涨幅 </w:t>
      </w:r>
      <w:r>
        <w:rPr>
          <w:rFonts w:ascii="Microsoft YaHei" w:hAnsi="Microsoft YaHei"/>
          <w:b/>
          <w:color w:val="1A1A1A"/>
        </w:rPr>
        <w:t>+2.27%</w:t>
      </w:r>
      <w:r>
        <w:rPr>
          <w:rFonts w:ascii="Microsoft YaHei" w:hAnsi="Microsoft YaHei"/>
        </w:rPr>
        <w:t xml:space="preserve">，主因上海市委财经工作委员会会议研究推进国际消费中心城市建设，明确提出"大力拓展入境消费"。东百集团、国光连锁、国芳集团等零售股涨幅居前。但需注意，王府井所在的细分"日常消费品零售(A股)"板块实际下跌 </w:t>
      </w:r>
      <w:r>
        <w:rPr>
          <w:rFonts w:ascii="Microsoft YaHei" w:hAnsi="Microsoft YaHei"/>
          <w:b/>
          <w:color w:val="1A1A1A"/>
        </w:rPr>
        <w:t>-2.20%</w:t>
      </w:r>
      <w:r>
        <w:rPr>
          <w:rFonts w:ascii="Microsoft YaHei" w:hAnsi="Microsoft YaHei"/>
        </w:rPr>
        <w:t>，板块内分化明显。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9.87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10.03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9.76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收盘价（午间）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9.90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222,889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22,064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1.98%</w:t>
            </w:r>
            <w:r>
              <w:rPr>
                <w:rFonts w:ascii="Microsoft YaHei" w:hAnsi="Microsoft YaHei"/>
                <w:sz w:val="18"/>
              </w:rPr>
              <w:t>（全日预估约3.96%）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53.87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111.27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1.98%</w:t>
      </w:r>
      <w:r>
        <w:rPr>
          <w:rFonts w:ascii="Microsoft YaHei" w:hAnsi="Microsoft YaHei"/>
        </w:rPr>
        <w:t xml:space="preserve">，对比上个交易日全日换手率 </w:t>
      </w:r>
      <w:r>
        <w:rPr>
          <w:rFonts w:ascii="Microsoft YaHei" w:hAnsi="Microsoft YaHei"/>
          <w:b/>
          <w:color w:val="1A1A1A"/>
        </w:rPr>
        <w:t>1.3232%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1.50倍</w:t>
      </w:r>
      <w:r>
        <w:rPr>
          <w:rFonts w:ascii="Microsoft YaHei" w:hAnsi="Microsoft YaHei"/>
        </w:rPr>
        <w:t xml:space="preserve">，属 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 xml:space="preserve">。盘中最高触及 </w:t>
      </w:r>
      <w:r>
        <w:rPr>
          <w:rFonts w:ascii="Microsoft YaHei" w:hAnsi="Microsoft YaHei"/>
          <w:b/>
          <w:color w:val="1A1A1A"/>
        </w:rPr>
        <w:t>10.03元</w:t>
      </w:r>
      <w:r>
        <w:rPr>
          <w:rFonts w:ascii="Microsoft YaHei" w:hAnsi="Microsoft YaHei"/>
        </w:rPr>
        <w:t>（涨停价10.79元），随后回落至9.90元收盘，显示上攻过程中有一定抛压。</w:t>
      </w:r>
    </w:p>
    <w:p>
      <w:r>
        <w:rPr>
          <w:rFonts w:ascii="Microsoft YaHei" w:hAnsi="Microsoft YaHei"/>
          <w:b/>
          <w:color w:val="1A1A1A"/>
        </w:rPr>
        <w:t>估值分析</w:t>
      </w:r>
      <w:r>
        <w:rPr>
          <w:rFonts w:ascii="Microsoft YaHei" w:hAnsi="Microsoft YaHei"/>
        </w:rPr>
        <w:t xml:space="preserve">：市净率仅 </w:t>
      </w:r>
      <w:r>
        <w:rPr>
          <w:rFonts w:ascii="Microsoft YaHei" w:hAnsi="Microsoft YaHei"/>
          <w:b/>
          <w:color w:val="1A1A1A"/>
        </w:rPr>
        <w:t>0.57倍</w:t>
      </w:r>
      <w:r>
        <w:rPr>
          <w:rFonts w:ascii="Microsoft YaHei" w:hAnsi="Microsoft YaHei"/>
        </w:rPr>
        <w:t xml:space="preserve">，处于破净状态，反映市场对其资产质量存在疑虑；动态市盈率 </w:t>
      </w:r>
      <w:r>
        <w:rPr>
          <w:rFonts w:ascii="Microsoft YaHei" w:hAnsi="Microsoft YaHei"/>
          <w:b/>
          <w:color w:val="1A1A1A"/>
        </w:rPr>
        <w:t>53.87倍</w:t>
      </w:r>
      <w:r>
        <w:rPr>
          <w:rFonts w:ascii="Microsoft YaHei" w:hAnsi="Microsoft YaHei"/>
        </w:rPr>
        <w:t>，估值偏高，与近期基本面承压有关。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今日盘中资金流向（逐分钟统计）：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净流入: +3,436.46 万元</w:t>
      </w:r>
      <w:r>
        <w:rPr>
          <w:rFonts w:ascii="Microsoft YaHei" w:hAnsi="Microsoft YaHei"/>
        </w:rPr>
        <w:t>（统计113分钟）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67 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46 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最大单分钟流入: </w:t>
      </w:r>
      <w:r>
        <w:rPr>
          <w:rFonts w:ascii="Microsoft YaHei" w:hAnsi="Microsoft YaHei"/>
          <w:b/>
          <w:color w:val="1A1A1A"/>
        </w:rPr>
        <w:t>696.3 万元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最大单分钟流出: </w:t>
      </w:r>
      <w:r>
        <w:rPr>
          <w:rFonts w:ascii="Microsoft YaHei" w:hAnsi="Microsoft YaHei"/>
          <w:b/>
          <w:color w:val="1A1A1A"/>
        </w:rPr>
        <w:t>180.4 万元</w:t>
      </w:r>
    </w:p>
    <w:p>
      <w:r>
        <w:rPr>
          <w:rFonts w:ascii="Microsoft YaHei" w:hAnsi="Microsoft YaHei"/>
          <w:b/>
          <w:color w:val="1A1A1A"/>
        </w:rPr>
        <w:t>上个交易日资金细分（元）：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+19,475,465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35,459,181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15,983,716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+11,328,016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50,383,377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39,055,361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+3,496,190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10,643,480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7,147,290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+34,299,671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融资融券（上个交易日终）：</w:t>
      </w:r>
    </w:p>
    <w:p>
      <w:pPr>
        <w:pStyle w:val="ListBullet"/>
      </w:pPr>
      <w:r>
        <w:rPr>
          <w:rFonts w:ascii="Microsoft YaHei" w:hAnsi="Microsoft YaHei"/>
        </w:rPr>
        <w:t xml:space="preserve">融资余额: </w:t>
      </w:r>
      <w:r>
        <w:rPr>
          <w:rFonts w:ascii="Microsoft YaHei" w:hAnsi="Microsoft YaHei"/>
          <w:b/>
          <w:color w:val="1A1A1A"/>
        </w:rPr>
        <w:t>6.43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-0.52%</w:t>
      </w:r>
      <w:r>
        <w:rPr>
          <w:rFonts w:ascii="Microsoft YaHei" w:hAnsi="Microsoft YaHei"/>
        </w:rPr>
        <w:t xml:space="preserve">），占流通市值比例 </w:t>
      </w:r>
      <w:r>
        <w:rPr>
          <w:rFonts w:ascii="Microsoft YaHei" w:hAnsi="Microsoft YaHei"/>
          <w:b/>
          <w:color w:val="1A1A1A"/>
        </w:rPr>
        <w:t>5.79%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，说明融资盘已处于历史极低水位，</w:t>
      </w:r>
      <w:r>
        <w:rPr>
          <w:rFonts w:ascii="Microsoft YaHei" w:hAnsi="Microsoft YaHei"/>
          <w:b/>
          <w:color w:val="1A1A1A"/>
        </w:rPr>
        <w:t>杠杆抛压有限</w:t>
      </w:r>
    </w:p>
    <w:p>
      <w:pPr>
        <w:pStyle w:val="ListBullet"/>
      </w:pPr>
      <w:r>
        <w:rPr>
          <w:rFonts w:ascii="Microsoft YaHei" w:hAnsi="Microsoft YaHei"/>
        </w:rPr>
        <w:t xml:space="preserve">融券余额: </w:t>
      </w:r>
      <w:r>
        <w:rPr>
          <w:rFonts w:ascii="Microsoft YaHei" w:hAnsi="Microsoft YaHei"/>
          <w:b/>
          <w:color w:val="1A1A1A"/>
        </w:rPr>
        <w:t>0.03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-6.81%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资金判断</w:t>
      </w:r>
      <w:r>
        <w:rPr>
          <w:rFonts w:ascii="Microsoft YaHei" w:hAnsi="Microsoft YaHei"/>
        </w:rPr>
        <w:t xml:space="preserve">：今日延续了上个交易日 </w:t>
      </w:r>
      <w:r>
        <w:rPr>
          <w:rFonts w:ascii="Microsoft YaHei" w:hAnsi="Microsoft YaHei"/>
          <w:b/>
          <w:color w:val="1A1A1A"/>
        </w:rPr>
        <w:t>大单、中单、小单全线净流入</w:t>
      </w:r>
      <w:r>
        <w:rPr>
          <w:rFonts w:ascii="Microsoft YaHei" w:hAnsi="Microsoft YaHei"/>
        </w:rPr>
        <w:t xml:space="preserve"> 的态势，盘中净流入 </w:t>
      </w:r>
      <w:r>
        <w:rPr>
          <w:rFonts w:ascii="Microsoft YaHei" w:hAnsi="Microsoft YaHei"/>
          <w:b/>
          <w:color w:val="1A1A1A"/>
        </w:rPr>
        <w:t>3,436万元</w:t>
      </w:r>
      <w:r>
        <w:rPr>
          <w:rFonts w:ascii="Microsoft YaHei" w:hAnsi="Microsoft YaHei"/>
        </w:rPr>
        <w:t>，流入分钟数（67分钟）显著多于流出分钟数（46分钟），且最大流入力度（696万）远超最大流出力度（180万），</w:t>
      </w:r>
      <w:r>
        <w:rPr>
          <w:rFonts w:ascii="Microsoft YaHei" w:hAnsi="Microsoft YaHei"/>
          <w:b/>
          <w:color w:val="1A1A1A"/>
        </w:rPr>
        <w:t>主动性买盘占据主导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均线/布林带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9.74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9.72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9.56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+3.6%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10.02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 -1.2%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9.10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9.90元</w:t>
      </w:r>
      <w:r>
        <w:rPr>
          <w:rFonts w:ascii="Microsoft YaHei" w:hAnsi="Microsoft YaHei"/>
        </w:rPr>
        <w:t xml:space="preserve"> 站稳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三条均线之上，短期多头排列格局形成</w:t>
      </w:r>
    </w:p>
    <w:p>
      <w:pPr>
        <w:pStyle w:val="ListBullet"/>
      </w:pPr>
      <w:r>
        <w:rPr>
          <w:rFonts w:ascii="Microsoft YaHei" w:hAnsi="Microsoft YaHei"/>
        </w:rPr>
        <w:t xml:space="preserve">盘中最高 </w:t>
      </w:r>
      <w:r>
        <w:rPr>
          <w:rFonts w:ascii="Microsoft YaHei" w:hAnsi="Microsoft YaHei"/>
          <w:b/>
          <w:color w:val="1A1A1A"/>
        </w:rPr>
        <w:t>10.03元</w:t>
      </w:r>
      <w:r>
        <w:rPr>
          <w:rFonts w:ascii="Microsoft YaHei" w:hAnsi="Microsoft YaHei"/>
        </w:rPr>
        <w:t xml:space="preserve"> 已短暂 </w:t>
      </w:r>
      <w:r>
        <w:rPr>
          <w:rFonts w:ascii="Microsoft YaHei" w:hAnsi="Microsoft YaHei"/>
          <w:b/>
          <w:color w:val="1A1A1A"/>
        </w:rPr>
        <w:t>突破布林带上轨（10.02元）</w:t>
      </w:r>
      <w:r>
        <w:rPr>
          <w:rFonts w:ascii="Microsoft YaHei" w:hAnsi="Microsoft YaHei"/>
        </w:rPr>
        <w:t>，随后小幅回落至9.90元，说明上轨存在技术性阻力</w:t>
      </w:r>
    </w:p>
    <w:p>
      <w:pPr>
        <w:pStyle w:val="ListBullet"/>
      </w:pPr>
      <w:r>
        <w:rPr>
          <w:rFonts w:ascii="Microsoft YaHei" w:hAnsi="Microsoft YaHei"/>
        </w:rPr>
        <w:t xml:space="preserve">从布林中轨9.56元起算，当前偏离度 </w:t>
      </w:r>
      <w:r>
        <w:rPr>
          <w:rFonts w:ascii="Microsoft YaHei" w:hAnsi="Microsoft YaHei"/>
          <w:b/>
          <w:color w:val="1A1A1A"/>
        </w:rPr>
        <w:t>+3.6%</w:t>
      </w:r>
      <w:r>
        <w:rPr>
          <w:rFonts w:ascii="Microsoft YaHei" w:hAnsi="Microsoft YaHei"/>
        </w:rPr>
        <w:t>，偏离幅度适中，尚未进入过热区间</w:t>
      </w:r>
    </w:p>
    <w:p>
      <w:pPr>
        <w:pStyle w:val="ListBullet"/>
      </w:pPr>
      <w:r>
        <w:rPr>
          <w:rFonts w:ascii="Microsoft YaHei" w:hAnsi="Microsoft YaHei"/>
        </w:rPr>
        <w:t xml:space="preserve">若午后能站稳布林上轨10.02元上方，将打开上行空间；若持续受阻，则可能回踩 </w:t>
      </w:r>
      <w:r>
        <w:rPr>
          <w:rFonts w:ascii="Microsoft YaHei" w:hAnsi="Microsoft YaHei"/>
          <w:b/>
          <w:color w:val="1A1A1A"/>
        </w:rPr>
        <w:t>MA5（9.74元）</w:t>
      </w:r>
      <w:r>
        <w:rPr>
          <w:rFonts w:ascii="Microsoft YaHei" w:hAnsi="Microsoft YaHei"/>
        </w:rPr>
        <w:t xml:space="preserve"> 寻求支撑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关键新闻解读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融资余额降至近一年低位</w:t>
      </w:r>
      <w:r>
        <w:rPr>
          <w:rFonts w:ascii="Microsoft YaHei" w:hAnsi="Microsoft YaHei"/>
        </w:rPr>
        <w:t xml:space="preserve">：融资余额 </w:t>
      </w:r>
      <w:r>
        <w:rPr>
          <w:rFonts w:ascii="Microsoft YaHei" w:hAnsi="Microsoft YaHei"/>
          <w:b/>
          <w:color w:val="1A1A1A"/>
        </w:rPr>
        <w:t>6.43亿</w:t>
      </w:r>
      <w:r>
        <w:rPr>
          <w:rFonts w:ascii="Microsoft YaHei" w:hAnsi="Microsoft YaHei"/>
        </w:rPr>
        <w:t xml:space="preserve"> 低于近一年10%分位水平，融资净偿还 </w:t>
      </w:r>
      <w:r>
        <w:rPr>
          <w:rFonts w:ascii="Microsoft YaHei" w:hAnsi="Microsoft YaHei"/>
          <w:b/>
          <w:color w:val="1A1A1A"/>
        </w:rPr>
        <w:t>336.3万元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：融资盘出清较为充分，筹码结构改善，后续若行情启动，杠杆资金反而有加仓空间。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基本面承压</w:t>
      </w:r>
      <w:r>
        <w:rPr>
          <w:rFonts w:ascii="Microsoft YaHei" w:hAnsi="Microsoft YaHei"/>
        </w:rPr>
        <w:t>：标题"营收缩水、净利暴跌还倒亏"指向王府井近期基本面承受压力，有税+免税双轮驱动面临增长瓶颈。</w:t>
      </w: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：这是压制股价估值的核心因素，动态市盈率53.87倍与基本面的背离需引起警惕。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政策催化：国际消费中心城市建设</w:t>
      </w:r>
      <w:r>
        <w:rPr>
          <w:rFonts w:ascii="Microsoft YaHei" w:hAnsi="Microsoft YaHei"/>
        </w:rPr>
        <w:t>：上海专题研究推进国际消费中心城市建设，强调"大力拓展入境消费"。</w:t>
      </w:r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：王府井作为拥有 </w:t>
      </w:r>
      <w:r>
        <w:rPr>
          <w:rFonts w:ascii="Microsoft YaHei" w:hAnsi="Microsoft YaHei"/>
          <w:b/>
          <w:color w:val="1A1A1A"/>
        </w:rPr>
        <w:t>免税牌照</w:t>
      </w:r>
      <w:r>
        <w:rPr>
          <w:rFonts w:ascii="Microsoft YaHei" w:hAnsi="Microsoft YaHei"/>
        </w:rPr>
        <w:t xml:space="preserve"> 的百货龙头，是入境消费政策利好的直接受益标的。今日商业零售板块整体走强即是对此消息的正面反馈。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入境消费趋势</w:t>
      </w:r>
      <w:r>
        <w:rPr>
          <w:rFonts w:ascii="Microsoft YaHei" w:hAnsi="Microsoft YaHei"/>
        </w:rPr>
        <w:t>：报道"老外在中国爱买啥"，呼应拓展入境消费这一政策主线，王府井旗下免税业务有望受益于入境游客消费回暖。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领涨个股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商业零售（热门板块）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东百集团+9.99%、国光连锁+9.99%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日常消费品零售(A股)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中百集团+3.44%、百联股份+1.70%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日常消费品分销和零售Ⅱ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中百集团+3.44%、益丰药房+3.36%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京津冀一体化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94/275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汇金股份+20.03%、建投能源+10.05%</w:t>
            </w:r>
          </w:p>
        </w:tc>
      </w:tr>
    </w:tbl>
    <w:p/>
    <w:p>
      <w:r>
        <w:rPr>
          <w:rFonts w:ascii="Microsoft YaHei" w:hAnsi="Microsoft YaHei"/>
        </w:rPr>
        <w:t xml:space="preserve">王府井在细分零售板块内排名 </w:t>
      </w:r>
      <w:r>
        <w:rPr>
          <w:rFonts w:ascii="Microsoft YaHei" w:hAnsi="Microsoft YaHei"/>
          <w:b/>
          <w:color w:val="1A1A1A"/>
        </w:rPr>
        <w:t>4/18</w:t>
      </w:r>
      <w:r>
        <w:rPr>
          <w:rFonts w:ascii="Microsoft YaHei" w:hAnsi="Microsoft YaHei"/>
        </w:rPr>
        <w:t xml:space="preserve">，处于中等偏上位置。与其同赛道的个股表现分化明显：中百集团+3.44%领涨，而宁波中百-9.99%、ST文峰-10.26%则大幅下跌。板块整体呈现 </w:t>
      </w:r>
      <w:r>
        <w:rPr>
          <w:rFonts w:ascii="Microsoft YaHei" w:hAnsi="Microsoft YaHei"/>
          <w:b/>
          <w:color w:val="1A1A1A"/>
        </w:rPr>
        <w:t>"龙头强、跟风弱"</w:t>
      </w:r>
      <w:r>
        <w:rPr>
          <w:rFonts w:ascii="Microsoft YaHei" w:hAnsi="Microsoft YaHei"/>
        </w:rPr>
        <w:t xml:space="preserve"> 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主力观点：谨慎偏多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上涨占比79%，成交放量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放量上涨，量比1.50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净流入3,436万，大单主导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站上MA5/MA10/MA20，逼近布林上轨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处近一年低位，抛压有限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上海促消费政策利好零售/免税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营收下滑、净利承压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利空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53.87倍偏高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10.02元（布林上轨）</w:t>
      </w:r>
      <w:r>
        <w:rPr>
          <w:rFonts w:ascii="Microsoft YaHei" w:hAnsi="Microsoft YaHei"/>
        </w:rPr>
        <w:t xml:space="preserve"> 能否有效突破并站稳，这是短期多空分水岭</w:t>
      </w:r>
    </w:p>
    <w:p>
      <w:pPr>
        <w:pStyle w:val="ListNumber"/>
      </w:pPr>
      <w:r>
        <w:rPr>
          <w:rFonts w:ascii="Microsoft YaHei" w:hAnsi="Microsoft YaHei"/>
        </w:rPr>
        <w:t>商业零售板块的持续性，王府井作为板块内中军能否跟涨龙头</w:t>
      </w:r>
    </w:p>
    <w:p>
      <w:pPr>
        <w:pStyle w:val="ListNumber"/>
      </w:pPr>
      <w:r>
        <w:rPr>
          <w:rFonts w:ascii="Microsoft YaHei" w:hAnsi="Microsoft YaHei"/>
        </w:rPr>
        <w:t>融资余额低位是否吸引新增杠杆资金入场</w:t>
      </w:r>
    </w:p>
    <w:p>
      <w:pPr>
        <w:pStyle w:val="ListNumber"/>
      </w:pPr>
      <w:r>
        <w:rPr>
          <w:rFonts w:ascii="Microsoft YaHei" w:hAnsi="Microsoft YaHei"/>
        </w:rPr>
        <w:t xml:space="preserve">若冲高回落，关注 </w:t>
      </w:r>
      <w:r>
        <w:rPr>
          <w:rFonts w:ascii="Microsoft YaHei" w:hAnsi="Microsoft YaHei"/>
          <w:b/>
          <w:color w:val="1A1A1A"/>
        </w:rPr>
        <w:t>9.74元（MA5）</w:t>
      </w:r>
      <w:r>
        <w:rPr>
          <w:rFonts w:ascii="Microsoft YaHei" w:hAnsi="Microsoft YaHei"/>
        </w:rPr>
        <w:t xml:space="preserve"> 的支撑力度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：以上分析仅基于午间盘面数据和公开信息，不构成投资建议。王府井基本面承压叠加高PE估值，短线炒作需注意追高风险。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王府井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