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白云机场（600004.SH）午间分析报告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数据截止</w:t>
      </w:r>
      <w:r>
        <w:rPr>
          <w:rFonts w:ascii="Microsoft YaHei" w:hAnsi="Microsoft YaHei"/>
        </w:rPr>
        <w:t xml:space="preserve">：2026年7月29日 11:30 | </w:t>
      </w:r>
      <w:r>
        <w:rPr>
          <w:rFonts w:ascii="Microsoft YaHei" w:hAnsi="Microsoft YaHei"/>
          <w:b/>
          <w:color w:val="1A1A1A"/>
        </w:rPr>
        <w:t>报告类型</w:t>
      </w:r>
      <w:r>
        <w:rPr>
          <w:rFonts w:ascii="Microsoft YaHei" w:hAnsi="Microsoft YaHei"/>
        </w:rPr>
        <w:t>：盘中分析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全市场情绪温和偏暖。今日两市成交额达 </w:t>
      </w:r>
      <w:r>
        <w:rPr>
          <w:rFonts w:ascii="Microsoft YaHei" w:hAnsi="Microsoft YaHei"/>
          <w:b/>
          <w:color w:val="1A1A1A"/>
        </w:rPr>
        <w:t>1.46万亿元（+1549亿）</w:t>
      </w:r>
      <w:r>
        <w:rPr>
          <w:rFonts w:ascii="Microsoft YaHei" w:hAnsi="Microsoft YaHei"/>
        </w:rPr>
        <w:t xml:space="preserve">，市场热度指数56（高）。上涨家数 </w:t>
      </w:r>
      <w:r>
        <w:rPr>
          <w:rFonts w:ascii="Microsoft YaHei" w:hAnsi="Microsoft YaHei"/>
          <w:b/>
          <w:color w:val="1A1A1A"/>
        </w:rPr>
        <w:t>3404家</w:t>
      </w:r>
      <w:r>
        <w:rPr>
          <w:rFonts w:ascii="Microsoft YaHei" w:hAnsi="Microsoft YaHei"/>
        </w:rPr>
        <w:t xml:space="preserve">，下跌2018家，涨跌比约 </w:t>
      </w:r>
      <w:r>
        <w:rPr>
          <w:rFonts w:ascii="Microsoft YaHei" w:hAnsi="Microsoft YaHei"/>
          <w:b/>
          <w:color w:val="1A1A1A"/>
        </w:rPr>
        <w:t>1.69:1</w:t>
      </w:r>
      <w:r>
        <w:rPr>
          <w:rFonts w:ascii="Microsoft YaHei" w:hAnsi="Microsoft YaHei"/>
        </w:rPr>
        <w:t xml:space="preserve">，涨停58只，跌停19只。赚钱效应指标为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，涨幅集中在1%~2%区间，整体市场人气较好。</w:t>
      </w:r>
    </w:p>
    <w:p>
      <w:r>
        <w:rPr>
          <w:rFonts w:ascii="Microsoft YaHei" w:hAnsi="Microsoft YaHei"/>
        </w:rPr>
        <w:t xml:space="preserve">白云机场所属的 </w:t>
      </w:r>
      <w:r>
        <w:rPr>
          <w:rFonts w:ascii="Microsoft YaHei" w:hAnsi="Microsoft YaHei"/>
          <w:b/>
          <w:color w:val="1A1A1A"/>
        </w:rPr>
        <w:t>机场服务板块</w:t>
      </w:r>
      <w:r>
        <w:rPr>
          <w:rFonts w:ascii="Microsoft YaHei" w:hAnsi="Microsoft YaHei"/>
        </w:rPr>
        <w:t xml:space="preserve"> 领涨行业，板块涨幅 </w:t>
      </w:r>
      <w:r>
        <w:rPr>
          <w:rFonts w:ascii="Microsoft YaHei" w:hAnsi="Microsoft YaHei"/>
          <w:b/>
          <w:color w:val="1A1A1A"/>
        </w:rPr>
        <w:t>+0.96%</w:t>
      </w:r>
      <w:r>
        <w:rPr>
          <w:rFonts w:ascii="Microsoft YaHei" w:hAnsi="Microsoft YaHei"/>
        </w:rPr>
        <w:t xml:space="preserve">，在1158个板块中排名 </w:t>
      </w:r>
      <w:r>
        <w:rPr>
          <w:rFonts w:ascii="Microsoft YaHei" w:hAnsi="Microsoft YaHei"/>
          <w:b/>
          <w:color w:val="1A1A1A"/>
        </w:rPr>
        <w:t>第128位</w:t>
      </w:r>
      <w:r>
        <w:rPr>
          <w:rFonts w:ascii="Microsoft YaHei" w:hAnsi="Microsoft YaHei"/>
        </w:rPr>
        <w:t xml:space="preserve">，板块内4只个股 </w:t>
      </w:r>
      <w:r>
        <w:rPr>
          <w:rFonts w:ascii="Microsoft YaHei" w:hAnsi="Microsoft YaHei"/>
          <w:b/>
          <w:color w:val="1A1A1A"/>
        </w:rPr>
        <w:t>全线上涨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变动/对比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7.95元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较昨收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+0.63%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7.85 / 7.98 / 7.81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2.15%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169,533手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成交额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13,368万元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0.72%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较昨日日终（0.41%）放量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1.75倍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交投活跃度明显提升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7.89元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当前价高于均价，多头占优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 / 内盘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90,744 / 78,788手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外盘 &gt; 内盘，主动性买盘更强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估值指标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上一交易日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动态市盈率（PE）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30.55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13.53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市净率（PB）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0.94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204.89亿元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188.15亿元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注意</w:t>
      </w:r>
      <w:r>
        <w:rPr>
          <w:rFonts w:ascii="Microsoft YaHei" w:hAnsi="Microsoft YaHei"/>
        </w:rPr>
        <w:t>：动态市盈率从13.53跳升至30.55，主要受近期业绩预期上调及股价上涨共同影响，需持续关注中报盈利数据验证。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盘中资金流向（逐分钟统计）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净流向</w:t>
      </w:r>
      <w:r>
        <w:rPr>
          <w:rFonts w:ascii="Microsoft YaHei" w:hAnsi="Microsoft YaHei"/>
        </w:rPr>
        <w:t xml:space="preserve">：净流入 </w:t>
      </w:r>
      <w:r>
        <w:rPr>
          <w:rFonts w:ascii="Microsoft YaHei" w:hAnsi="Microsoft YaHei"/>
          <w:b/>
          <w:color w:val="1A1A1A"/>
        </w:rPr>
        <w:t>2,438.15万元</w:t>
      </w:r>
      <w:r>
        <w:rPr>
          <w:rFonts w:ascii="Microsoft YaHei" w:hAnsi="Microsoft YaHei"/>
        </w:rPr>
        <w:t>（统计113分钟）</w:t>
      </w:r>
    </w:p>
    <w:p>
      <w:pPr>
        <w:pStyle w:val="ListBullet"/>
      </w:pPr>
      <w:r>
        <w:rPr>
          <w:rFonts w:ascii="Microsoft YaHei" w:hAnsi="Microsoft YaHei"/>
        </w:rPr>
        <w:t xml:space="preserve">资金流入时长 </w:t>
      </w:r>
      <w:r>
        <w:rPr>
          <w:rFonts w:ascii="Microsoft YaHei" w:hAnsi="Microsoft YaHei"/>
          <w:b/>
          <w:color w:val="1A1A1A"/>
        </w:rPr>
        <w:t>79分钟</w:t>
      </w:r>
      <w:r>
        <w:rPr>
          <w:rFonts w:ascii="Microsoft YaHei" w:hAnsi="Microsoft YaHei"/>
        </w:rPr>
        <w:t xml:space="preserve"> / 流出 </w:t>
      </w:r>
      <w:r>
        <w:rPr>
          <w:rFonts w:ascii="Microsoft YaHei" w:hAnsi="Microsoft YaHei"/>
          <w:b/>
          <w:color w:val="1A1A1A"/>
        </w:rPr>
        <w:t>34分钟</w:t>
      </w:r>
      <w:r>
        <w:rPr>
          <w:rFonts w:ascii="Microsoft YaHei" w:hAnsi="Microsoft YaHei"/>
        </w:rPr>
        <w:t xml:space="preserve">，流入时长占比约 </w:t>
      </w:r>
      <w:r>
        <w:rPr>
          <w:rFonts w:ascii="Microsoft YaHei" w:hAnsi="Microsoft YaHei"/>
          <w:b/>
          <w:color w:val="1A1A1A"/>
        </w:rPr>
        <w:t>70%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  <w:color w:val="1A1A1A"/>
        </w:rPr>
        <w:t>241.2万元</w:t>
      </w:r>
      <w:r>
        <w:rPr>
          <w:rFonts w:ascii="Microsoft YaHei" w:hAnsi="Microsoft YaHei"/>
        </w:rPr>
        <w:t xml:space="preserve"> / 最大单分钟流出 </w:t>
      </w:r>
      <w:r>
        <w:rPr>
          <w:rFonts w:ascii="Microsoft YaHei" w:hAnsi="Microsoft YaHei"/>
          <w:b/>
          <w:color w:val="1A1A1A"/>
        </w:rPr>
        <w:t>105.7万元</w:t>
      </w:r>
    </w:p>
    <w:p>
      <w:pPr>
        <w:pStyle w:val="ListBullet"/>
      </w:pPr>
      <w:r>
        <w:rPr>
          <w:rFonts w:ascii="Microsoft YaHei" w:hAnsi="Microsoft YaHei"/>
        </w:rPr>
        <w:t>买方力量明显占优，资金持续流入特征显著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+598万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1,244万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646万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+1,271万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2,287万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1,016万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+569万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866万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297万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+2,438万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>三大资金类型全部呈净流入，</w:t>
      </w:r>
      <w:r>
        <w:rPr>
          <w:rFonts w:ascii="Microsoft YaHei" w:hAnsi="Microsoft YaHei"/>
          <w:b/>
          <w:color w:val="1A1A1A"/>
        </w:rPr>
        <w:t>中单资金净流入最大</w:t>
      </w:r>
      <w:r>
        <w:rPr>
          <w:rFonts w:ascii="Microsoft YaHei" w:hAnsi="Microsoft YaHei"/>
        </w:rPr>
        <w:t>（+1,271万），大单资金同步加仓，资金共识度较高。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3.63亿元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-0.78%</w:t>
            </w:r>
            <w:r>
              <w:rPr>
                <w:rFonts w:ascii="Microsoft YaHei" w:hAnsi="Microsoft YaHei"/>
                <w:sz w:val="18"/>
              </w:rPr>
              <w:t>（净偿还284万元）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0.03亿元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-7.53%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融资余额占流通市值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1.99%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低于近一年10%分位水平</w:t>
            </w:r>
          </w:p>
        </w:tc>
      </w:tr>
    </w:tbl>
    <w:p/>
    <w:p>
      <w:r>
        <w:rPr>
          <w:rFonts w:ascii="Microsoft YaHei" w:hAnsi="Microsoft YaHei"/>
        </w:rPr>
        <w:t xml:space="preserve">融资余额处于 </w:t>
      </w:r>
      <w:r>
        <w:rPr>
          <w:rFonts w:ascii="Microsoft YaHei" w:hAnsi="Microsoft YaHei"/>
          <w:b/>
          <w:color w:val="1A1A1A"/>
        </w:rPr>
        <w:t>近一年极低分位</w:t>
      </w:r>
      <w:r>
        <w:rPr>
          <w:rFonts w:ascii="Microsoft YaHei" w:hAnsi="Microsoft YaHei"/>
        </w:rPr>
        <w:t>，说明市场此前对该股杠杆资金参与度不高；今日放量上攻后，融资盘后续有望回补。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MA5（5日均线）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~7.64元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MA10（10日均线）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~7.51元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~7.34元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7.78元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当前价已突破上轨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6.90元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技术研判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多头排列明确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7.95元</w:t>
      </w:r>
      <w:r>
        <w:rPr>
          <w:rFonts w:ascii="Microsoft YaHei" w:hAnsi="Microsoft YaHei"/>
        </w:rPr>
        <w:t xml:space="preserve"> 依次站上MA5、MA10、MA20，短期均线形成标准多头排列。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突破布林带上轨</w:t>
      </w:r>
      <w:r>
        <w:rPr>
          <w:rFonts w:ascii="Microsoft YaHei" w:hAnsi="Microsoft YaHei"/>
        </w:rPr>
        <w:t xml:space="preserve">：股价已运行至布林带上轨（7.78元）之上，偏离度达 </w:t>
      </w:r>
      <w:r>
        <w:rPr>
          <w:rFonts w:ascii="Microsoft YaHei" w:hAnsi="Microsoft YaHei"/>
          <w:b/>
          <w:color w:val="1A1A1A"/>
        </w:rPr>
        <w:t>+2.2%</w:t>
      </w:r>
      <w:r>
        <w:rPr>
          <w:rFonts w:ascii="Microsoft YaHei" w:hAnsi="Microsoft YaHei"/>
        </w:rPr>
        <w:t xml:space="preserve">，属于 </w:t>
      </w:r>
      <w:r>
        <w:rPr>
          <w:rFonts w:ascii="Microsoft YaHei" w:hAnsi="Microsoft YaHei"/>
          <w:b/>
          <w:color w:val="1A1A1A"/>
        </w:rPr>
        <w:t>强势突破形态</w:t>
      </w:r>
      <w:r>
        <w:rPr>
          <w:rFonts w:ascii="Microsoft YaHei" w:hAnsi="Microsoft YaHei"/>
        </w:rPr>
        <w:t>，但短期存在技术性回踩需求。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：量比1.29配合放量上攻，早盘即完成对昨日收盘价的突破，盘中最高触及 </w:t>
      </w:r>
      <w:r>
        <w:rPr>
          <w:rFonts w:ascii="Microsoft YaHei" w:hAnsi="Microsoft YaHei"/>
          <w:b/>
          <w:color w:val="1A1A1A"/>
        </w:rPr>
        <w:t>7.98元</w:t>
      </w:r>
      <w:r>
        <w:rPr>
          <w:rFonts w:ascii="Microsoft YaHei" w:hAnsi="Microsoft YaHei"/>
        </w:rPr>
        <w:t>，距整数关口8元仅一步之遥。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上半年运营数据亮眼</w:t>
      </w:r>
    </w:p>
    <w:p>
      <w:r>
        <w:rPr>
          <w:rFonts w:ascii="Microsoft YaHei" w:hAnsi="Microsoft YaHei"/>
        </w:rPr>
        <w:t>据公司披露，</w:t>
      </w:r>
      <w:r>
        <w:rPr>
          <w:rFonts w:ascii="Microsoft YaHei" w:hAnsi="Microsoft YaHei"/>
          <w:b/>
          <w:color w:val="1A1A1A"/>
        </w:rPr>
        <w:t>2026年上半年旅客吞吐量超过4,300万人次</w:t>
      </w:r>
      <w:r>
        <w:rPr>
          <w:rFonts w:ascii="Microsoft YaHei" w:hAnsi="Microsoft YaHei"/>
        </w:rPr>
        <w:t xml:space="preserve">，国际航线复苏强劲。结合此前调研信息，T3航站楼月租金约 </w:t>
      </w:r>
      <w:r>
        <w:rPr>
          <w:rFonts w:ascii="Microsoft YaHei" w:hAnsi="Microsoft YaHei"/>
          <w:b/>
          <w:color w:val="1A1A1A"/>
        </w:rPr>
        <w:t>7,490万元</w:t>
      </w:r>
      <w:r>
        <w:rPr>
          <w:rFonts w:ascii="Microsoft YaHei" w:hAnsi="Microsoft YaHei"/>
        </w:rPr>
        <w:t>，新产能逐步释放将增厚非航收入。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广告业务迎来新增长点</w:t>
      </w:r>
    </w:p>
    <w:p>
      <w:r>
        <w:rPr>
          <w:rFonts w:ascii="Microsoft YaHei" w:hAnsi="Microsoft YaHei"/>
        </w:rPr>
        <w:t>公司表示，</w:t>
      </w:r>
      <w:r>
        <w:rPr>
          <w:rFonts w:ascii="Microsoft YaHei" w:hAnsi="Microsoft YaHei"/>
          <w:b/>
          <w:color w:val="1A1A1A"/>
        </w:rPr>
        <w:t>AI大模型、云计算等新兴行业已成为机场广告的增量主力</w:t>
      </w:r>
      <w:r>
        <w:rPr>
          <w:rFonts w:ascii="Microsoft YaHei" w:hAnsi="Microsoft YaHei"/>
        </w:rPr>
        <w:t>。数字经济企业品牌投放需求旺盛，有望推动公司广告收入占比持续提升。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 分红回报稳定</w:t>
      </w:r>
    </w:p>
    <w:p>
      <w:r>
        <w:rPr>
          <w:rFonts w:ascii="Microsoft YaHei" w:hAnsi="Microsoft YaHei"/>
        </w:rPr>
        <w:t xml:space="preserve">公司上市以来 </w:t>
      </w:r>
      <w:r>
        <w:rPr>
          <w:rFonts w:ascii="Microsoft YaHei" w:hAnsi="Microsoft YaHei"/>
          <w:b/>
          <w:color w:val="1A1A1A"/>
        </w:rPr>
        <w:t>分红率约为47%</w:t>
      </w:r>
      <w:r>
        <w:rPr>
          <w:rFonts w:ascii="Microsoft YaHei" w:hAnsi="Microsoft YaHei"/>
        </w:rPr>
        <w:t>，体现出对投资者回报的高度重视，对长期价值投资者具有吸引力。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4. 融资余额处于历史低位</w:t>
      </w:r>
    </w:p>
    <w:p>
      <w:r>
        <w:rPr>
          <w:rFonts w:ascii="Microsoft YaHei" w:hAnsi="Microsoft YaHei"/>
        </w:rPr>
        <w:t xml:space="preserve">当前融资余额 </w:t>
      </w:r>
      <w:r>
        <w:rPr>
          <w:rFonts w:ascii="Microsoft YaHei" w:hAnsi="Microsoft YaHei"/>
          <w:b/>
          <w:color w:val="1A1A1A"/>
        </w:rPr>
        <w:t>3.63亿元</w:t>
      </w:r>
      <w:r>
        <w:rPr>
          <w:rFonts w:ascii="Microsoft YaHei" w:hAnsi="Microsoft YaHei"/>
        </w:rPr>
        <w:t xml:space="preserve">，占流通市值仅 </w:t>
      </w:r>
      <w:r>
        <w:rPr>
          <w:rFonts w:ascii="Microsoft YaHei" w:hAnsi="Microsoft YaHei"/>
          <w:b/>
          <w:color w:val="1A1A1A"/>
        </w:rPr>
        <w:t>1.99%</w:t>
      </w:r>
      <w:r>
        <w:rPr>
          <w:rFonts w:ascii="Microsoft YaHei" w:hAnsi="Microsoft YaHei"/>
        </w:rPr>
        <w:t>，低于近一年10%分位。较低的融资余额意味着杠杆资金的潜在加仓空间较大，后续若股价持续走强，融资盘回流或成为增量资金来源。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所属板块表现排名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板块内上涨/下跌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机场服务(A股)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3/4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4涨/0跌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交通基本设施(A股)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+0.87%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27/47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32涨/12跌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57/121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68涨/48跌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340/550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372涨/177跌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粤港澳大湾区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-3.20%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101/476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122涨/348跌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机场服务板块全线上涨</w:t>
      </w:r>
      <w:r>
        <w:rPr>
          <w:rFonts w:ascii="Microsoft YaHei" w:hAnsi="Microsoft YaHei"/>
        </w:rPr>
        <w:t>：上海机场（+1.48%）、深圳机场（+1.37%）、白云机场（+0.63%）、厦门空港（+0.35%），板块联动效应明显，受益于暑期出行旺季需求提振。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人气较好，成交活跃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放量上攻，外盘主导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持续净流入，大小单全面加仓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突破布林带上轨，多头排列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偏多（注意短期超买）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融资杠杆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余额处历史低位，潜在加仓空间大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中性偏多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基本面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旅客吞吐量增长，广告收入新增长点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板块效应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机场服务板块全线上涨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白云机场今日午盘收涨 </w:t>
      </w:r>
      <w:r>
        <w:rPr>
          <w:rFonts w:ascii="Microsoft YaHei" w:hAnsi="Microsoft YaHei"/>
          <w:b/>
          <w:color w:val="1A1A1A"/>
        </w:rPr>
        <w:t>+0.63%</w:t>
      </w:r>
      <w:r>
        <w:rPr>
          <w:rFonts w:ascii="Microsoft YaHei" w:hAnsi="Microsoft YaHei"/>
        </w:rPr>
        <w:t xml:space="preserve">，呈现 </w:t>
      </w:r>
      <w:r>
        <w:rPr>
          <w:rFonts w:ascii="Microsoft YaHei" w:hAnsi="Microsoft YaHei"/>
          <w:b/>
          <w:color w:val="1A1A1A"/>
        </w:rPr>
        <w:t>放量突破</w:t>
      </w:r>
      <w:r>
        <w:rPr>
          <w:rFonts w:ascii="Microsoft YaHei" w:hAnsi="Microsoft YaHei"/>
        </w:rPr>
        <w:t xml:space="preserve"> 走势。技术面上股价已站稳所有短中期均线并突破布林带上轨，短期强势格局确立。资金面上大、中、小单 </w:t>
      </w:r>
      <w:r>
        <w:rPr>
          <w:rFonts w:ascii="Microsoft YaHei" w:hAnsi="Microsoft YaHei"/>
          <w:b/>
          <w:color w:val="1A1A1A"/>
        </w:rPr>
        <w:t>全面净流入</w:t>
      </w:r>
      <w:r>
        <w:rPr>
          <w:rFonts w:ascii="Microsoft YaHei" w:hAnsi="Microsoft YaHei"/>
        </w:rPr>
        <w:t>，合计超2,438万元，主力资金做多意愿明确。</w:t>
      </w:r>
    </w:p>
    <w:p>
      <w:r>
        <w:rPr>
          <w:rFonts w:ascii="Microsoft YaHei" w:hAnsi="Microsoft YaHei"/>
        </w:rPr>
        <w:t xml:space="preserve">基本面上，上半年旅客吞吐量超4,300万人次、国际航线强劲复苏、T3航站楼租金贡献、AI广告新业务等构成了 </w:t>
      </w:r>
      <w:r>
        <w:rPr>
          <w:rFonts w:ascii="Microsoft YaHei" w:hAnsi="Microsoft YaHei"/>
          <w:b/>
          <w:color w:val="1A1A1A"/>
        </w:rPr>
        <w:t>多重利好催化</w:t>
      </w:r>
      <w:r>
        <w:rPr>
          <w:rFonts w:ascii="Microsoft YaHei" w:hAnsi="Microsoft YaHei"/>
        </w:rPr>
        <w:t>。低融资余额状态也为后续杠杆资金入场提供了空间。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：当前价已突破布林带上轨，短期存在技术性回踩确认需求；动态市盈率升至30倍以上，需关注中报业绩能否匹配当前估值水平。</w:t>
      </w:r>
      <w:r>
        <w:rPr>
          <w:rFonts w:ascii="Microsoft YaHei" w:hAnsi="Microsoft YaHei"/>
          <w:b/>
          <w:color w:val="1A1A1A"/>
        </w:rPr>
        <w:t>以上分析不构成投资建议，投资有风险，入市需谨慎。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白云机场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