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皖通高速（600012.SH）午间分析报告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今日全市场情绪偏暖，热度指数录得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，成交额放量至 </w:t>
      </w:r>
      <w:r>
        <w:rPr>
          <w:rFonts w:ascii="Microsoft YaHei" w:hAnsi="Microsoft YaHei"/>
          <w:b/>
          <w:color w:val="1A1A1A"/>
        </w:rPr>
        <w:t>1.46万亿元（+1549亿元）</w:t>
      </w:r>
      <w:r>
        <w:rPr>
          <w:rFonts w:ascii="Microsoft YaHei" w:hAnsi="Microsoft YaHei"/>
        </w:rPr>
        <w:t xml:space="preserve">。上涨家数 </w:t>
      </w:r>
      <w:r>
        <w:rPr>
          <w:rFonts w:ascii="Microsoft YaHei" w:hAnsi="Microsoft YaHei"/>
          <w:b/>
          <w:color w:val="1A1A1A"/>
        </w:rPr>
        <w:t>3407家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2025家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57家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18家</w:t>
      </w:r>
      <w:r>
        <w:rPr>
          <w:rFonts w:ascii="Microsoft YaHei" w:hAnsi="Microsoft YaHei"/>
        </w:rPr>
        <w:t xml:space="preserve">，上涨占比约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（晋级率7%）、二板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（晋级率23%）、三板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（晋级率33%），高度板仅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，市场整体呈现普涨特征，但连板接力情绪一般。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皖通高速今日大幅高开高走，午间收于 </w:t>
      </w:r>
      <w:r>
        <w:rPr>
          <w:rFonts w:ascii="Microsoft YaHei" w:hAnsi="Microsoft YaHei"/>
          <w:b/>
          <w:color w:val="1A1A1A"/>
        </w:rPr>
        <w:t>18.78元</w:t>
      </w:r>
      <w:r>
        <w:rPr>
          <w:rFonts w:ascii="Microsoft YaHei" w:hAnsi="Microsoft YaHei"/>
        </w:rPr>
        <w:t xml:space="preserve">，较昨收 </w:t>
      </w:r>
      <w:r>
        <w:rPr>
          <w:rFonts w:ascii="Microsoft YaHei" w:hAnsi="Microsoft YaHei"/>
          <w:b/>
          <w:color w:val="1A1A1A"/>
        </w:rPr>
        <w:t>17.25元</w:t>
      </w:r>
      <w:r>
        <w:rPr>
          <w:rFonts w:ascii="Microsoft YaHei" w:hAnsi="Microsoft YaHei"/>
        </w:rPr>
        <w:t xml:space="preserve"> 上涨 </w:t>
      </w:r>
      <w:r>
        <w:rPr>
          <w:rFonts w:ascii="Microsoft YaHei" w:hAnsi="Microsoft YaHei"/>
          <w:b/>
          <w:color w:val="1A1A1A"/>
        </w:rPr>
        <w:t>+8.87%</w:t>
      </w:r>
      <w:r>
        <w:rPr>
          <w:rFonts w:ascii="Microsoft YaHei" w:hAnsi="Microsoft YaHei"/>
        </w:rPr>
        <w:t xml:space="preserve">，距离涨停价 </w:t>
      </w:r>
      <w:r>
        <w:rPr>
          <w:rFonts w:ascii="Microsoft YaHei" w:hAnsi="Microsoft YaHei"/>
          <w:b/>
          <w:color w:val="1A1A1A"/>
        </w:rPr>
        <w:t>18.98元</w:t>
      </w:r>
      <w:r>
        <w:rPr>
          <w:rFonts w:ascii="Microsoft YaHei" w:hAnsi="Microsoft YaHei"/>
        </w:rPr>
        <w:t xml:space="preserve"> 仅一步之遥。开盘价 </w:t>
      </w:r>
      <w:r>
        <w:rPr>
          <w:rFonts w:ascii="Microsoft YaHei" w:hAnsi="Microsoft YaHei"/>
          <w:b/>
          <w:color w:val="1A1A1A"/>
        </w:rPr>
        <w:t>17.20元</w:t>
      </w:r>
      <w:r>
        <w:rPr>
          <w:rFonts w:ascii="Microsoft YaHei" w:hAnsi="Microsoft YaHei"/>
        </w:rPr>
        <w:t xml:space="preserve"> 略低于昨收，早盘经历短暂下探至 </w:t>
      </w:r>
      <w:r>
        <w:rPr>
          <w:rFonts w:ascii="Microsoft YaHei" w:hAnsi="Microsoft YaHei"/>
          <w:b/>
          <w:color w:val="1A1A1A"/>
        </w:rPr>
        <w:t>17.18元</w:t>
      </w:r>
      <w:r>
        <w:rPr>
          <w:rFonts w:ascii="Microsoft YaHei" w:hAnsi="Microsoft YaHei"/>
        </w:rPr>
        <w:t xml:space="preserve"> 后快速反弹，随后一路走高，全天高点触及 </w:t>
      </w:r>
      <w:r>
        <w:rPr>
          <w:rFonts w:ascii="Microsoft YaHei" w:hAnsi="Microsoft YaHei"/>
          <w:b/>
          <w:color w:val="1A1A1A"/>
        </w:rPr>
        <w:t>18.85元</w:t>
      </w:r>
      <w:r>
        <w:rPr>
          <w:rFonts w:ascii="Microsoft YaHei" w:hAnsi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最新价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18.78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+8.87%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96,742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17,658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9.68%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14.95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320.87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218.90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量价结构</w:t>
      </w:r>
      <w:r>
        <w:rPr>
          <w:rFonts w:ascii="Microsoft YaHei" w:hAnsi="Microsoft YaHei"/>
        </w:rPr>
        <w:t xml:space="preserve">方面，今日量比 </w:t>
      </w:r>
      <w:r>
        <w:rPr>
          <w:rFonts w:ascii="Microsoft YaHei" w:hAnsi="Microsoft YaHei"/>
          <w:b/>
          <w:color w:val="1A1A1A"/>
        </w:rPr>
        <w:t>1.88</w:t>
      </w:r>
      <w:r>
        <w:rPr>
          <w:rFonts w:ascii="Microsoft YaHei" w:hAnsi="Microsoft YaHei"/>
        </w:rPr>
        <w:t xml:space="preserve">，属于显著放量状态。换手率 </w:t>
      </w:r>
      <w:r>
        <w:rPr>
          <w:rFonts w:ascii="Microsoft YaHei" w:hAnsi="Microsoft YaHei"/>
          <w:b/>
          <w:color w:val="1A1A1A"/>
        </w:rPr>
        <w:t>0.83%</w:t>
      </w:r>
      <w:r>
        <w:rPr>
          <w:rFonts w:ascii="Microsoft YaHei" w:hAnsi="Microsoft YaHei"/>
        </w:rPr>
        <w:t xml:space="preserve">，较上个交易日（0.8197%）温和放大（比值1.01倍），考虑到接近涨停的涨幅，筹码锁定较佳，并未出现恐慌性抛售。内盘 </w:t>
      </w:r>
      <w:r>
        <w:rPr>
          <w:rFonts w:ascii="Microsoft YaHei" w:hAnsi="Microsoft YaHei"/>
          <w:b/>
          <w:color w:val="1A1A1A"/>
        </w:rPr>
        <w:t>42,354手</w:t>
      </w:r>
      <w:r>
        <w:rPr>
          <w:rFonts w:ascii="Microsoft YaHei" w:hAnsi="Microsoft YaHei"/>
        </w:rPr>
        <w:t xml:space="preserve"> 与外盘 </w:t>
      </w:r>
      <w:r>
        <w:rPr>
          <w:rFonts w:ascii="Microsoft YaHei" w:hAnsi="Microsoft YaHei"/>
          <w:b/>
          <w:color w:val="1A1A1A"/>
        </w:rPr>
        <w:t>54,387手</w:t>
      </w:r>
      <w:r>
        <w:rPr>
          <w:rFonts w:ascii="Microsoft YaHei" w:hAnsi="Microsoft YaHei"/>
        </w:rPr>
        <w:t xml:space="preserve"> 之比约为 </w:t>
      </w:r>
      <w:r>
        <w:rPr>
          <w:rFonts w:ascii="Microsoft YaHei" w:hAnsi="Microsoft YaHei"/>
          <w:b/>
          <w:color w:val="1A1A1A"/>
        </w:rPr>
        <w:t>1:1.28</w:t>
      </w:r>
      <w:r>
        <w:rPr>
          <w:rFonts w:ascii="Microsoft YaHei" w:hAnsi="Microsoft YaHei"/>
        </w:rPr>
        <w:t>，买盘力量明显占优。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r>
        <w:rPr>
          <w:rFonts w:ascii="Microsoft YaHei" w:hAnsi="Microsoft YaHei"/>
        </w:rPr>
        <w:t xml:space="preserve">截至午间休市，逐分钟统计数据显示，个股全天录得 </w:t>
      </w:r>
      <w:r>
        <w:rPr>
          <w:rFonts w:ascii="Microsoft YaHei" w:hAnsi="Microsoft YaHei"/>
          <w:b/>
          <w:color w:val="1A1A1A"/>
        </w:rPr>
        <w:t>净流入 825.35万元</w:t>
      </w:r>
      <w:r>
        <w:rPr>
          <w:rFonts w:ascii="Microsoft YaHei" w:hAnsi="Microsoft YaHei"/>
        </w:rPr>
        <w:t xml:space="preserve">。其中资金流入 </w:t>
      </w:r>
      <w:r>
        <w:rPr>
          <w:rFonts w:ascii="Microsoft YaHei" w:hAnsi="Microsoft YaHei"/>
          <w:b/>
          <w:color w:val="1A1A1A"/>
        </w:rPr>
        <w:t>66分钟</w:t>
      </w:r>
      <w:r>
        <w:rPr>
          <w:rFonts w:ascii="Microsoft YaHei" w:hAnsi="Microsoft YaHei"/>
        </w:rPr>
        <w:t xml:space="preserve">，流出 </w:t>
      </w:r>
      <w:r>
        <w:rPr>
          <w:rFonts w:ascii="Microsoft YaHei" w:hAnsi="Microsoft YaHei"/>
          <w:b/>
          <w:color w:val="1A1A1A"/>
        </w:rPr>
        <w:t>47分钟</w:t>
      </w:r>
      <w:r>
        <w:rPr>
          <w:rFonts w:ascii="Microsoft YaHei" w:hAnsi="Microsoft YaHei"/>
        </w:rPr>
        <w:t xml:space="preserve">，净流入时长占比约 </w:t>
      </w:r>
      <w:r>
        <w:rPr>
          <w:rFonts w:ascii="Microsoft YaHei" w:hAnsi="Microsoft YaHei"/>
          <w:b/>
          <w:color w:val="1A1A1A"/>
        </w:rPr>
        <w:t>58.4%</w:t>
      </w:r>
      <w:r>
        <w:rPr>
          <w:rFonts w:ascii="Microsoft YaHei" w:hAnsi="Microsoft YaHei"/>
        </w:rPr>
        <w:t xml:space="preserve">。单分钟最大流入 </w:t>
      </w:r>
      <w:r>
        <w:rPr>
          <w:rFonts w:ascii="Microsoft YaHei" w:hAnsi="Microsoft YaHei"/>
          <w:b/>
          <w:color w:val="1A1A1A"/>
        </w:rPr>
        <w:t>265.7万元</w:t>
      </w:r>
      <w:r>
        <w:rPr>
          <w:rFonts w:ascii="Microsoft YaHei" w:hAnsi="Microsoft YaHei"/>
        </w:rPr>
        <w:t xml:space="preserve">，最大流出 </w:t>
      </w:r>
      <w:r>
        <w:rPr>
          <w:rFonts w:ascii="Microsoft YaHei" w:hAnsi="Microsoft YaHei"/>
          <w:b/>
          <w:color w:val="1A1A1A"/>
        </w:rPr>
        <w:t>141.1万元</w:t>
      </w:r>
      <w:r>
        <w:rPr>
          <w:rFonts w:ascii="Microsoft YaHei" w:hAnsi="Microsoft YaHei"/>
        </w:rPr>
        <w:t>，买方脉冲力度远超卖方，资金情绪积极。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+597.63万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1,221.81万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624.18万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+143.17万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3,157.91万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3,014.73万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+76.54万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789.59万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713.05万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+817.35万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上个交易日大单净额 </w:t>
      </w:r>
      <w:r>
        <w:rPr>
          <w:rFonts w:ascii="Microsoft YaHei" w:hAnsi="Microsoft YaHei"/>
          <w:b/>
          <w:color w:val="1A1A1A"/>
        </w:rPr>
        <w:t>+597.63万元</w:t>
      </w:r>
      <w:r>
        <w:rPr>
          <w:rFonts w:ascii="Microsoft YaHei" w:hAnsi="Microsoft YaHei"/>
        </w:rPr>
        <w:t>，显示主力资金已提前布局。今日大单继续加仓，资金面呈现持续向好态势。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0.24亿元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-1.75%</w:t>
      </w:r>
      <w:r>
        <w:rPr>
          <w:rFonts w:ascii="Microsoft YaHei" w:hAnsi="Microsoft YaHei"/>
        </w:rPr>
        <w:t xml:space="preserve">），占流通市值比例仅 </w:t>
      </w:r>
      <w:r>
        <w:rPr>
          <w:rFonts w:ascii="Microsoft YaHei" w:hAnsi="Microsoft YaHei"/>
          <w:b/>
          <w:color w:val="1A1A1A"/>
        </w:rPr>
        <w:t>0.11%</w:t>
      </w:r>
      <w:r>
        <w:rPr>
          <w:rFonts w:ascii="Microsoft YaHei" w:hAnsi="Microsoft YaHei"/>
        </w:rPr>
        <w:t>，低于近一年40%分位水平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0.06亿元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+3.13%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融资余额规模较小且小幅净偿还，说明杠杆资金参与度不高，今日大涨主要依靠场内活跃资金推动，而非融资盘驱动。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18.78元</w:t>
      </w:r>
      <w:r>
        <w:rPr>
          <w:rFonts w:ascii="Microsoft YaHei" w:hAnsi="Microsoft YaHei"/>
        </w:rPr>
        <w:t xml:space="preserve"> 已全面站上各主要均线，呈多头排列格局：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~17.98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+4.5%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~17.43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+7.8%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~16.92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+11.0%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18.48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已突破 +1.6%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15.36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关键信号：</w:t>
      </w:r>
      <w:r>
        <w:rPr>
          <w:rFonts w:ascii="Microsoft YaHei" w:hAnsi="Microsoft YaHei"/>
        </w:rPr>
        <w:t xml:space="preserve"> 当前股价已突破布林带上轨 </w:t>
      </w:r>
      <w:r>
        <w:rPr>
          <w:rFonts w:ascii="Microsoft YaHei" w:hAnsi="Microsoft YaHei"/>
          <w:b/>
          <w:color w:val="1A1A1A"/>
        </w:rPr>
        <w:t>18.48元</w:t>
      </w:r>
      <w:r>
        <w:rPr>
          <w:rFonts w:ascii="Microsoft YaHei" w:hAnsi="Microsoft YaHei"/>
        </w:rPr>
        <w:t xml:space="preserve">，进入超强势区间。同时，今日振幅高达 </w:t>
      </w:r>
      <w:r>
        <w:rPr>
          <w:rFonts w:ascii="Microsoft YaHei" w:hAnsi="Microsoft YaHei"/>
          <w:b/>
          <w:color w:val="1A1A1A"/>
        </w:rPr>
        <w:t>9.68%</w:t>
      </w:r>
      <w:r>
        <w:rPr>
          <w:rFonts w:ascii="Microsoft YaHei" w:hAnsi="Microsoft YaHei"/>
        </w:rPr>
        <w:t xml:space="preserve">，说明多空博弈激烈但多方完胜。盘中 </w:t>
      </w:r>
      <w:r>
        <w:rPr>
          <w:rFonts w:ascii="Microsoft YaHei" w:hAnsi="Microsoft YaHei"/>
          <w:b/>
          <w:color w:val="1A1A1A"/>
        </w:rPr>
        <w:t>09:35</w:t>
      </w:r>
      <w:r>
        <w:rPr>
          <w:rFonts w:ascii="Microsoft YaHei" w:hAnsi="Microsoft YaHei"/>
        </w:rPr>
        <w:t xml:space="preserve"> 曾出现一次快速反弹（从 </w:t>
      </w:r>
      <w:r>
        <w:rPr>
          <w:rFonts w:ascii="Microsoft YaHei" w:hAnsi="Microsoft YaHei"/>
          <w:b/>
          <w:color w:val="1A1A1A"/>
        </w:rPr>
        <w:t>-0.10%</w:t>
      </w:r>
      <w:r>
        <w:rPr>
          <w:rFonts w:ascii="Microsoft YaHei" w:hAnsi="Microsoft YaHei"/>
        </w:rPr>
        <w:t xml:space="preserve"> 翻红拉升至高位），验证了低位承接力强劲。</w:t>
      </w:r>
    </w:p>
    <w:p>
      <w:r>
        <w:rPr>
          <w:rFonts w:ascii="Microsoft YaHei" w:hAnsi="Microsoft YaHei"/>
        </w:rPr>
        <w:t>&gt; ⚠️ 注意：股价突破布林带上轨后，短期内存在技术性回调或震荡整固的需求，需关注能否封板站稳。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相关资讯分析</w:t>
      </w:r>
    </w:p>
    <w:p>
      <w:r>
        <w:rPr>
          <w:rFonts w:ascii="Microsoft YaHei" w:hAnsi="Microsoft YaHei"/>
          <w:b/>
          <w:color w:val="1A1A1A"/>
        </w:rPr>
        <w:t>① 融资融券数据披露（7月28日）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2,372.52万元</w:t>
      </w:r>
      <w:r>
        <w:rPr>
          <w:rFonts w:ascii="Microsoft YaHei" w:hAnsi="Microsoft YaHei"/>
        </w:rPr>
        <w:t xml:space="preserve">，融资净买入额 </w:t>
      </w:r>
      <w:r>
        <w:rPr>
          <w:rFonts w:ascii="Microsoft YaHei" w:hAnsi="Microsoft YaHei"/>
          <w:b/>
          <w:color w:val="1A1A1A"/>
        </w:rPr>
        <w:t>-42.21万元</w:t>
      </w:r>
      <w:r>
        <w:rPr>
          <w:rFonts w:ascii="Microsoft YaHei" w:hAnsi="Microsoft YaHei"/>
        </w:rPr>
        <w:t xml:space="preserve">（小幅净偿还），占流通市值 </w:t>
      </w:r>
      <w:r>
        <w:rPr>
          <w:rFonts w:ascii="Microsoft YaHei" w:hAnsi="Microsoft YaHei"/>
          <w:b/>
          <w:color w:val="1A1A1A"/>
        </w:rPr>
        <w:t>0.11%</w:t>
      </w:r>
      <w:r>
        <w:rPr>
          <w:rFonts w:ascii="Microsoft YaHei" w:hAnsi="Microsoft YaHei"/>
        </w:rPr>
        <w:t>，低于近一年40%分位。这一数据偏中性，说明该股并非融资盘驱动的品种，今日大涨更多体现的是场内外资金主动买入行为。</w:t>
      </w:r>
    </w:p>
    <w:p>
      <w:r>
        <w:rPr>
          <w:rFonts w:ascii="Microsoft YaHei" w:hAnsi="Microsoft YaHei"/>
          <w:b/>
          <w:color w:val="1A1A1A"/>
        </w:rPr>
        <w:t>② 隔夜全球要闻（7月29日）</w:t>
      </w:r>
    </w:p>
    <w:p>
      <w:r>
        <w:rPr>
          <w:rFonts w:ascii="Microsoft YaHei" w:hAnsi="Microsoft YaHei"/>
        </w:rPr>
        <w:t xml:space="preserve">其中涉及伊朗与霍尔木兹海峡航运安全议题——伊朗军方称将不允许接受其索赔的国家的船只通行霍尔木兹海峡。此消息虽未直接指向皖通高速，但对 </w:t>
      </w:r>
      <w:r>
        <w:rPr>
          <w:rFonts w:ascii="Microsoft YaHei" w:hAnsi="Microsoft YaHei"/>
          <w:b/>
          <w:color w:val="1A1A1A"/>
        </w:rPr>
        <w:t>交通运输、航运、路桥</w:t>
      </w:r>
      <w:r>
        <w:rPr>
          <w:rFonts w:ascii="Microsoft YaHei" w:hAnsi="Microsoft YaHei"/>
        </w:rPr>
        <w:t xml:space="preserve"> 等板块可能形成情绪催化。叠加A股交通基建板块今日整体走强，皖通高速作为 </w:t>
      </w:r>
      <w:r>
        <w:rPr>
          <w:rFonts w:ascii="Microsoft YaHei" w:hAnsi="Microsoft YaHei"/>
          <w:b/>
          <w:color w:val="1A1A1A"/>
        </w:rPr>
        <w:t>公路与铁路板块</w:t>
      </w:r>
      <w:r>
        <w:rPr>
          <w:rFonts w:ascii="Microsoft YaHei" w:hAnsi="Microsoft YaHei"/>
        </w:rPr>
        <w:t xml:space="preserve"> 领涨品种，或受此事件性驱动获得资金关注。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</w:t>
      </w:r>
    </w:p>
    <w:p>
      <w:r>
        <w:rPr>
          <w:rFonts w:ascii="Microsoft YaHei" w:hAnsi="Microsoft YaHei"/>
        </w:rPr>
        <w:t>皖通高速今日在多个板块中表现突出，均为</w:t>
      </w:r>
      <w:r>
        <w:rPr>
          <w:rFonts w:ascii="Microsoft YaHei" w:hAnsi="Microsoft YaHei"/>
          <w:b/>
          <w:color w:val="1A1A1A"/>
        </w:rPr>
        <w:t>领涨位置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1/47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公路与铁路(A股)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1/24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1/121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PPP概念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3/198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10/380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10/1209</w:t>
            </w:r>
          </w:p>
        </w:tc>
      </w:tr>
    </w:tbl>
    <w:p/>
    <w:p>
      <w:r>
        <w:rPr>
          <w:rFonts w:ascii="Microsoft YaHei" w:hAnsi="Microsoft YaHei"/>
        </w:rPr>
        <w:t>板块共振效应显著。</w:t>
      </w:r>
      <w:r>
        <w:rPr>
          <w:rFonts w:ascii="Microsoft YaHei" w:hAnsi="Microsoft YaHei"/>
          <w:b/>
          <w:color w:val="1A1A1A"/>
        </w:rPr>
        <w:t>交通基本设施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  <w:color w:val="1A1A1A"/>
        </w:rPr>
        <w:t>公路与铁路</w:t>
      </w:r>
      <w:r>
        <w:rPr>
          <w:rFonts w:ascii="Microsoft YaHei" w:hAnsi="Microsoft YaHei"/>
        </w:rPr>
        <w:t>两大板块均录得正收益，皖通高速同时位居两板块第一，成为板块龙头。同板块中山东高速（</w:t>
      </w:r>
      <w:r>
        <w:rPr>
          <w:rFonts w:ascii="Microsoft YaHei" w:hAnsi="Microsoft YaHei"/>
          <w:b/>
          <w:color w:val="1A1A1A"/>
        </w:rPr>
        <w:t>+5.49%</w:t>
      </w:r>
      <w:r>
        <w:rPr>
          <w:rFonts w:ascii="Microsoft YaHei" w:hAnsi="Microsoft YaHei"/>
        </w:rPr>
        <w:t>）、中国通号（</w:t>
      </w:r>
      <w:r>
        <w:rPr>
          <w:rFonts w:ascii="Microsoft YaHei" w:hAnsi="Microsoft YaHei"/>
          <w:b/>
          <w:color w:val="1A1A1A"/>
        </w:rPr>
        <w:t>+4.24%</w:t>
      </w:r>
      <w:r>
        <w:rPr>
          <w:rFonts w:ascii="Microsoft YaHei" w:hAnsi="Microsoft YaHei"/>
        </w:rPr>
        <w:t>）等跟涨积极，板块效应形成合力。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市场普涨，成交放量，情绪偏暖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涨幅+8.87%，逼近涨停，外盘占优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大单持续净流入，资金流入时长占比58%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多头排列，突破布林上轨，但超买需警惕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➖ 融资参与度低，非杠杆驱动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板块龙头，多板块领涨，协同效应强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➖ 隔夜地缘消息或构成情绪催化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皖通高速今日走势强劲，量价配合良好，在所属的交通基建和公路铁路板块中均位居领涨位置，具备板块龙头属性。资金面上，大单资金连续两日净流入，买卖力度对比悬殊（外盘/内盘=1.28）。技术面已形成多头排列并突破布林带上轨，短期内若午后能封住涨停板（18.98元），则有望进一步打开上行空间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当前股价已突破布林带上轨，短期偏离均线较大，存在技术性回调需求；融资余额较低，说明市场主力认可度高但杠杆跟风盘不足，若后续量能无法持续，需防范冲高回落风险。</w:t>
      </w:r>
      <w:r>
        <w:rPr>
          <w:rFonts w:ascii="Microsoft YaHei" w:hAnsi="Microsoft YaHei"/>
          <w:b/>
          <w:color w:val="1A1A1A"/>
        </w:rPr>
        <w:t>投资有风险，操作需谨慎。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皖通高速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