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88" w:lineRule="auto"/>
        <w:pBdr>
          <w:bottom w:val="single" w:sz="4" w:space="4" w:color="D0D7DE"/>
        </w:pBdr>
      </w:pPr>
      <w:r>
        <w:rPr>
          <w:rFonts w:ascii="Microsoft YaHei" w:hAnsi="Microsoft YaHei"/>
          <w:b/>
          <w:color w:val="1A1A1A"/>
          <w:sz w:val="36"/>
        </w:rPr>
        <w:t>辽港股份（601880.SH）午间分析报告</w:t>
      </w:r>
    </w:p>
    <w:p>
      <w:pPr>
        <w:spacing w:before="360" w:after="80" w:line="288" w:lineRule="auto"/>
        <w:pBdr>
          <w:bottom w:val="single" w:sz="4" w:space="4" w:color="D0D7DE"/>
        </w:pBdr>
      </w:pPr>
      <w:r>
        <w:rPr>
          <w:rFonts w:ascii="Microsoft YaHei" w:hAnsi="Microsoft YaHei"/>
          <w:b/>
          <w:color w:val="1A1A1A"/>
          <w:sz w:val="28"/>
        </w:rPr>
        <w:t>市场概况</w:t>
      </w:r>
    </w:p>
    <w:p>
      <w:r>
        <w:rPr>
          <w:rFonts w:ascii="Microsoft YaHei" w:hAnsi="Microsoft YaHei"/>
        </w:rPr>
        <w:t>今日全市场情绪偏暖，</w:t>
      </w:r>
      <w:r>
        <w:rPr>
          <w:rFonts w:ascii="Microsoft YaHei" w:hAnsi="Microsoft YaHei"/>
          <w:b/>
          <w:color w:val="1A1A1A"/>
        </w:rPr>
        <w:t>上涨家数3404家</w:t>
      </w:r>
      <w:r>
        <w:rPr>
          <w:rFonts w:ascii="Microsoft YaHei" w:hAnsi="Microsoft YaHei"/>
        </w:rPr>
        <w:t>，下跌2018家，上涨占比</w:t>
      </w:r>
      <w:r>
        <w:rPr>
          <w:rFonts w:ascii="Microsoft YaHei" w:hAnsi="Microsoft YaHei"/>
          <w:b/>
          <w:color w:val="1A1A1A"/>
        </w:rPr>
        <w:t>79%</w:t>
      </w:r>
      <w:r>
        <w:rPr>
          <w:rFonts w:ascii="Microsoft YaHei" w:hAnsi="Microsoft YaHei"/>
        </w:rPr>
        <w:t>；涨停58只，跌停19只，赚钱效应指标为</w:t>
      </w:r>
      <w:r>
        <w:rPr>
          <w:rFonts w:ascii="Microsoft YaHei" w:hAnsi="Microsoft YaHei"/>
          <w:b/>
          <w:color w:val="1A1A1A"/>
        </w:rPr>
        <w:t>46%</w:t>
      </w:r>
      <w:r>
        <w:rPr>
          <w:rFonts w:ascii="Microsoft YaHei" w:hAnsi="Microsoft YaHei"/>
        </w:rPr>
        <w:t>。成交额达</w:t>
      </w:r>
      <w:r>
        <w:rPr>
          <w:rFonts w:ascii="Microsoft YaHei" w:hAnsi="Microsoft YaHei"/>
          <w:b/>
          <w:color w:val="1A1A1A"/>
        </w:rPr>
        <w:t>1.46万亿元</w:t>
      </w:r>
      <w:r>
        <w:rPr>
          <w:rFonts w:ascii="Microsoft YaHei" w:hAnsi="Microsoft YaHei"/>
        </w:rPr>
        <w:t>，较前一交易日放量</w:t>
      </w:r>
      <w:r>
        <w:rPr>
          <w:rFonts w:ascii="Microsoft YaHei" w:hAnsi="Microsoft YaHei"/>
          <w:b/>
          <w:color w:val="1A1A1A"/>
        </w:rPr>
        <w:t>1549亿元</w:t>
      </w:r>
      <w:r>
        <w:rPr>
          <w:rFonts w:ascii="Microsoft YaHei" w:hAnsi="Microsoft YaHei"/>
        </w:rPr>
        <w:t>，量能充沛。辽港股份所属的</w:t>
      </w:r>
      <w:r>
        <w:rPr>
          <w:rFonts w:ascii="Microsoft YaHei" w:hAnsi="Microsoft YaHei"/>
          <w:b/>
          <w:color w:val="1A1A1A"/>
        </w:rPr>
        <w:t>交通基本设施板块（+0.87%）</w:t>
      </w:r>
      <w:r>
        <w:rPr>
          <w:rFonts w:ascii="Microsoft YaHei" w:hAnsi="Microsoft YaHei"/>
        </w:rPr>
        <w:t>和</w:t>
      </w:r>
      <w:r>
        <w:rPr>
          <w:rFonts w:ascii="Microsoft YaHei" w:hAnsi="Microsoft YaHei"/>
          <w:b/>
          <w:color w:val="1A1A1A"/>
        </w:rPr>
        <w:t>海港与服务板块（+0.60%）</w:t>
      </w:r>
      <w:r>
        <w:rPr>
          <w:rFonts w:ascii="Microsoft YaHei" w:hAnsi="Microsoft YaHei"/>
        </w:rPr>
        <w:t>均录得正收益，板块内个股多数上涨，龙头皖通高速大涨</w:t>
      </w:r>
      <w:r>
        <w:rPr>
          <w:rFonts w:ascii="Microsoft YaHei" w:hAnsi="Microsoft YaHei"/>
          <w:b/>
          <w:color w:val="1A1A1A"/>
        </w:rPr>
        <w:t>+8.87%</w:t>
      </w:r>
      <w:r>
        <w:rPr>
          <w:rFonts w:ascii="Microsoft YaHei" w:hAnsi="Microsoft YaHei"/>
        </w:rPr>
        <w:t>，招商港口</w:t>
      </w:r>
      <w:r>
        <w:rPr>
          <w:rFonts w:ascii="Microsoft YaHei" w:hAnsi="Microsoft YaHei"/>
          <w:b/>
          <w:color w:val="1A1A1A"/>
        </w:rPr>
        <w:t>+3.18%</w:t>
      </w:r>
      <w:r>
        <w:rPr>
          <w:rFonts w:ascii="Microsoft YaHei" w:hAnsi="Microsoft YaHei"/>
        </w:rPr>
        <w:t>，板块联动效应明显。</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个股分析</w:t>
      </w:r>
    </w:p>
    <w:p>
      <w:pPr>
        <w:spacing w:before="280" w:after="80" w:line="312" w:lineRule="auto"/>
      </w:pPr>
      <w:r>
        <w:rPr>
          <w:rFonts w:ascii="Microsoft YaHei" w:hAnsi="Microsoft YaHei"/>
          <w:b/>
          <w:color w:val="333333"/>
          <w:sz w:val="24"/>
        </w:rPr>
        <w:t>核心收盘数据</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指标</w:t>
            </w:r>
          </w:p>
        </w:tc>
        <w:tc>
          <w:tcPr>
            <w:tcW w:type="dxa" w:w="4533"/>
            <w:shd w:fill="F6F8FA" w:val="clear"/>
          </w:tcPr>
          <w:p>
            <w:pPr>
              <w:spacing w:before="40" w:after="40" w:line="288" w:lineRule="auto"/>
            </w:pPr>
            <w:r/>
            <w:r>
              <w:rPr>
                <w:rFonts w:ascii="Microsoft YaHei" w:hAnsi="Microsoft YaHei"/>
                <w:b/>
                <w:color w:val="1A1A1A"/>
                <w:sz w:val="18"/>
              </w:rPr>
              <w:t>数值</w:t>
            </w:r>
          </w:p>
        </w:tc>
      </w:tr>
      <w:tr>
        <w:tc>
          <w:tcPr>
            <w:tcW w:type="dxa" w:w="4533"/>
          </w:tcPr>
          <w:p>
            <w:pPr>
              <w:spacing w:before="40" w:after="40" w:line="288" w:lineRule="auto"/>
            </w:pPr>
            <w:r/>
            <w:r>
              <w:rPr>
                <w:rFonts w:ascii="Microsoft YaHei" w:hAnsi="Microsoft YaHei"/>
                <w:sz w:val="18"/>
              </w:rPr>
              <w:t>当前价</w:t>
            </w:r>
          </w:p>
        </w:tc>
        <w:tc>
          <w:tcPr>
            <w:tcW w:type="dxa" w:w="4533"/>
          </w:tcPr>
          <w:p>
            <w:pPr>
              <w:spacing w:before="40" w:after="40" w:line="288" w:lineRule="auto"/>
            </w:pPr>
            <w:r/>
            <w:r>
              <w:rPr>
                <w:rFonts w:ascii="Microsoft YaHei" w:hAnsi="Microsoft YaHei"/>
                <w:b/>
                <w:color w:val="1A1A1A"/>
                <w:sz w:val="18"/>
              </w:rPr>
              <w:t>1.47元</w:t>
            </w:r>
          </w:p>
        </w:tc>
      </w:tr>
      <w:tr>
        <w:tc>
          <w:tcPr>
            <w:tcW w:type="dxa" w:w="4533"/>
            <w:shd w:fill="F8F9FA" w:val="clear"/>
          </w:tcPr>
          <w:p>
            <w:pPr>
              <w:spacing w:before="40" w:after="40" w:line="288" w:lineRule="auto"/>
            </w:pPr>
            <w:r/>
            <w:r>
              <w:rPr>
                <w:rFonts w:ascii="Microsoft YaHei" w:hAnsi="Microsoft YaHei"/>
                <w:sz w:val="18"/>
              </w:rPr>
              <w:t>涨跌幅</w:t>
            </w:r>
          </w:p>
        </w:tc>
        <w:tc>
          <w:tcPr>
            <w:tcW w:type="dxa" w:w="4533"/>
            <w:shd w:fill="F8F9FA" w:val="clear"/>
          </w:tcPr>
          <w:p>
            <w:pPr>
              <w:spacing w:before="40" w:after="40" w:line="288" w:lineRule="auto"/>
            </w:pPr>
            <w:r/>
            <w:r>
              <w:rPr>
                <w:rFonts w:ascii="Microsoft YaHei" w:hAnsi="Microsoft YaHei"/>
                <w:b/>
                <w:color w:val="1A1A1A"/>
                <w:sz w:val="18"/>
              </w:rPr>
              <w:t>+2.80%</w:t>
            </w:r>
          </w:p>
        </w:tc>
      </w:tr>
      <w:tr>
        <w:tc>
          <w:tcPr>
            <w:tcW w:type="dxa" w:w="4533"/>
          </w:tcPr>
          <w:p>
            <w:pPr>
              <w:spacing w:before="40" w:after="40" w:line="288" w:lineRule="auto"/>
            </w:pPr>
            <w:r/>
            <w:r>
              <w:rPr>
                <w:rFonts w:ascii="Microsoft YaHei" w:hAnsi="Microsoft YaHei"/>
                <w:sz w:val="18"/>
              </w:rPr>
              <w:t>开盘/昨收</w:t>
            </w:r>
          </w:p>
        </w:tc>
        <w:tc>
          <w:tcPr>
            <w:tcW w:type="dxa" w:w="4533"/>
          </w:tcPr>
          <w:p>
            <w:pPr>
              <w:spacing w:before="40" w:after="40" w:line="288" w:lineRule="auto"/>
            </w:pPr>
            <w:r/>
            <w:r>
              <w:rPr>
                <w:rFonts w:ascii="Microsoft YaHei" w:hAnsi="Microsoft YaHei"/>
                <w:sz w:val="18"/>
              </w:rPr>
              <w:t>1.43 / 1.43</w:t>
            </w:r>
          </w:p>
        </w:tc>
      </w:tr>
      <w:tr>
        <w:tc>
          <w:tcPr>
            <w:tcW w:type="dxa" w:w="4533"/>
            <w:shd w:fill="F8F9FA" w:val="clear"/>
          </w:tcPr>
          <w:p>
            <w:pPr>
              <w:spacing w:before="40" w:after="40" w:line="288" w:lineRule="auto"/>
            </w:pPr>
            <w:r/>
            <w:r>
              <w:rPr>
                <w:rFonts w:ascii="Microsoft YaHei" w:hAnsi="Microsoft YaHei"/>
                <w:sz w:val="18"/>
              </w:rPr>
              <w:t>最高/最低</w:t>
            </w:r>
          </w:p>
        </w:tc>
        <w:tc>
          <w:tcPr>
            <w:tcW w:type="dxa" w:w="4533"/>
            <w:shd w:fill="F8F9FA" w:val="clear"/>
          </w:tcPr>
          <w:p>
            <w:pPr>
              <w:spacing w:before="40" w:after="40" w:line="288" w:lineRule="auto"/>
            </w:pPr>
            <w:r/>
            <w:r>
              <w:rPr>
                <w:rFonts w:ascii="Microsoft YaHei" w:hAnsi="Microsoft YaHei"/>
                <w:sz w:val="18"/>
              </w:rPr>
              <w:t>1.47 / 1.43</w:t>
            </w:r>
          </w:p>
        </w:tc>
      </w:tr>
      <w:tr>
        <w:tc>
          <w:tcPr>
            <w:tcW w:type="dxa" w:w="4533"/>
          </w:tcPr>
          <w:p>
            <w:pPr>
              <w:spacing w:before="40" w:after="40" w:line="288" w:lineRule="auto"/>
            </w:pPr>
            <w:r/>
            <w:r>
              <w:rPr>
                <w:rFonts w:ascii="Microsoft YaHei" w:hAnsi="Microsoft YaHei"/>
                <w:sz w:val="18"/>
              </w:rPr>
              <w:t>成交额</w:t>
            </w:r>
          </w:p>
        </w:tc>
        <w:tc>
          <w:tcPr>
            <w:tcW w:type="dxa" w:w="4533"/>
          </w:tcPr>
          <w:p>
            <w:pPr>
              <w:spacing w:before="40" w:after="40" w:line="288" w:lineRule="auto"/>
            </w:pPr>
            <w:r/>
            <w:r>
              <w:rPr>
                <w:rFonts w:ascii="Microsoft YaHei" w:hAnsi="Microsoft YaHei"/>
                <w:b/>
                <w:color w:val="1A1A1A"/>
                <w:sz w:val="18"/>
              </w:rPr>
              <w:t>2.07亿元</w:t>
            </w:r>
          </w:p>
        </w:tc>
      </w:tr>
      <w:tr>
        <w:tc>
          <w:tcPr>
            <w:tcW w:type="dxa" w:w="4533"/>
            <w:shd w:fill="F8F9FA" w:val="clear"/>
          </w:tcPr>
          <w:p>
            <w:pPr>
              <w:spacing w:before="40" w:after="40" w:line="288" w:lineRule="auto"/>
            </w:pPr>
            <w:r/>
            <w:r>
              <w:rPr>
                <w:rFonts w:ascii="Microsoft YaHei" w:hAnsi="Microsoft YaHei"/>
                <w:sz w:val="18"/>
              </w:rPr>
              <w:t>成交量</w:t>
            </w:r>
          </w:p>
        </w:tc>
        <w:tc>
          <w:tcPr>
            <w:tcW w:type="dxa" w:w="4533"/>
            <w:shd w:fill="F8F9FA" w:val="clear"/>
          </w:tcPr>
          <w:p>
            <w:pPr>
              <w:spacing w:before="40" w:after="40" w:line="288" w:lineRule="auto"/>
            </w:pPr>
            <w:r/>
            <w:r>
              <w:rPr>
                <w:rFonts w:ascii="Microsoft YaHei" w:hAnsi="Microsoft YaHei"/>
                <w:b/>
                <w:color w:val="1A1A1A"/>
                <w:sz w:val="18"/>
              </w:rPr>
              <w:t>142.04万手</w:t>
            </w:r>
          </w:p>
        </w:tc>
      </w:tr>
      <w:tr>
        <w:tc>
          <w:tcPr>
            <w:tcW w:type="dxa" w:w="4533"/>
          </w:tcPr>
          <w:p>
            <w:pPr>
              <w:spacing w:before="40" w:after="40" w:line="288" w:lineRule="auto"/>
            </w:pPr>
            <w:r/>
            <w:r>
              <w:rPr>
                <w:rFonts w:ascii="Microsoft YaHei" w:hAnsi="Microsoft YaHei"/>
                <w:sz w:val="18"/>
              </w:rPr>
              <w:t>换手率</w:t>
            </w:r>
          </w:p>
        </w:tc>
        <w:tc>
          <w:tcPr>
            <w:tcW w:type="dxa" w:w="4533"/>
          </w:tcPr>
          <w:p>
            <w:pPr>
              <w:spacing w:before="40" w:after="40" w:line="288" w:lineRule="auto"/>
            </w:pPr>
            <w:r/>
            <w:r>
              <w:rPr>
                <w:rFonts w:ascii="Microsoft YaHei" w:hAnsi="Microsoft YaHei"/>
                <w:sz w:val="18"/>
              </w:rPr>
              <w:t>0.77%</w:t>
            </w:r>
          </w:p>
        </w:tc>
      </w:tr>
      <w:tr>
        <w:tc>
          <w:tcPr>
            <w:tcW w:type="dxa" w:w="4533"/>
            <w:shd w:fill="F8F9FA" w:val="clear"/>
          </w:tcPr>
          <w:p>
            <w:pPr>
              <w:spacing w:before="40" w:after="40" w:line="288" w:lineRule="auto"/>
            </w:pPr>
            <w:r/>
            <w:r>
              <w:rPr>
                <w:rFonts w:ascii="Microsoft YaHei" w:hAnsi="Microsoft YaHei"/>
                <w:sz w:val="18"/>
              </w:rPr>
              <w:t>量比</w:t>
            </w:r>
          </w:p>
        </w:tc>
        <w:tc>
          <w:tcPr>
            <w:tcW w:type="dxa" w:w="4533"/>
            <w:shd w:fill="F8F9FA" w:val="clear"/>
          </w:tcPr>
          <w:p>
            <w:pPr>
              <w:spacing w:before="40" w:after="40" w:line="288" w:lineRule="auto"/>
            </w:pPr>
            <w:r/>
            <w:r>
              <w:rPr>
                <w:rFonts w:ascii="Microsoft YaHei" w:hAnsi="Microsoft YaHei"/>
                <w:b/>
                <w:color w:val="1A1A1A"/>
                <w:sz w:val="18"/>
              </w:rPr>
              <w:t>1.36</w:t>
            </w:r>
            <w:r>
              <w:rPr>
                <w:rFonts w:ascii="Microsoft YaHei" w:hAnsi="Microsoft YaHei"/>
                <w:sz w:val="18"/>
              </w:rPr>
              <w:t>（放量）</w:t>
            </w:r>
          </w:p>
        </w:tc>
      </w:tr>
      <w:tr>
        <w:tc>
          <w:tcPr>
            <w:tcW w:type="dxa" w:w="4533"/>
          </w:tcPr>
          <w:p>
            <w:pPr>
              <w:spacing w:before="40" w:after="40" w:line="288" w:lineRule="auto"/>
            </w:pPr>
            <w:r/>
            <w:r>
              <w:rPr>
                <w:rFonts w:ascii="Microsoft YaHei" w:hAnsi="Microsoft YaHei"/>
                <w:sz w:val="18"/>
              </w:rPr>
              <w:t>动态PE / PB</w:t>
            </w:r>
          </w:p>
        </w:tc>
        <w:tc>
          <w:tcPr>
            <w:tcW w:type="dxa" w:w="4533"/>
          </w:tcPr>
          <w:p>
            <w:pPr>
              <w:spacing w:before="40" w:after="40" w:line="288" w:lineRule="auto"/>
            </w:pPr>
            <w:r/>
            <w:r>
              <w:rPr>
                <w:rFonts w:ascii="Microsoft YaHei" w:hAnsi="Microsoft YaHei"/>
                <w:sz w:val="18"/>
              </w:rPr>
              <w:t xml:space="preserve">24.12 / </w:t>
            </w:r>
            <w:r>
              <w:rPr>
                <w:rFonts w:ascii="Microsoft YaHei" w:hAnsi="Microsoft YaHei"/>
                <w:b/>
                <w:color w:val="1A1A1A"/>
                <w:sz w:val="18"/>
              </w:rPr>
              <w:t>0.87</w:t>
            </w:r>
          </w:p>
        </w:tc>
      </w:tr>
      <w:tr>
        <w:tc>
          <w:tcPr>
            <w:tcW w:type="dxa" w:w="4533"/>
            <w:shd w:fill="F8F9FA" w:val="clear"/>
          </w:tcPr>
          <w:p>
            <w:pPr>
              <w:spacing w:before="40" w:after="40" w:line="288" w:lineRule="auto"/>
            </w:pPr>
            <w:r/>
            <w:r>
              <w:rPr>
                <w:rFonts w:ascii="Microsoft YaHei" w:hAnsi="Microsoft YaHei"/>
                <w:sz w:val="18"/>
              </w:rPr>
              <w:t>总市值 / 流通市值</w:t>
            </w:r>
          </w:p>
        </w:tc>
        <w:tc>
          <w:tcPr>
            <w:tcW w:type="dxa" w:w="4533"/>
            <w:shd w:fill="F8F9FA" w:val="clear"/>
          </w:tcPr>
          <w:p>
            <w:pPr>
              <w:spacing w:before="40" w:after="40" w:line="288" w:lineRule="auto"/>
            </w:pPr>
            <w:r/>
            <w:r>
              <w:rPr>
                <w:rFonts w:ascii="Microsoft YaHei" w:hAnsi="Microsoft YaHei"/>
                <w:sz w:val="18"/>
              </w:rPr>
              <w:t>346.5亿 / 270.67亿</w:t>
            </w:r>
          </w:p>
        </w:tc>
      </w:tr>
    </w:tbl>
    <w:p/>
    <w:p>
      <w:r>
        <w:rPr>
          <w:rFonts w:ascii="Microsoft YaHei" w:hAnsi="Microsoft YaHei"/>
        </w:rPr>
        <w:t>辽港股份今日高开高走，开盘价1.43元即与昨收持平，随后一路震荡上行至午间收盘价</w:t>
      </w:r>
      <w:r>
        <w:rPr>
          <w:rFonts w:ascii="Microsoft YaHei" w:hAnsi="Microsoft YaHei"/>
          <w:b/>
          <w:color w:val="1A1A1A"/>
        </w:rPr>
        <w:t>1.47元</w:t>
      </w:r>
      <w:r>
        <w:rPr>
          <w:rFonts w:ascii="Microsoft YaHei" w:hAnsi="Microsoft YaHei"/>
        </w:rPr>
        <w:t>，涨幅</w:t>
      </w:r>
      <w:r>
        <w:rPr>
          <w:rFonts w:ascii="Microsoft YaHei" w:hAnsi="Microsoft YaHei"/>
          <w:b/>
          <w:color w:val="1A1A1A"/>
        </w:rPr>
        <w:t>+2.80%</w:t>
      </w:r>
      <w:r>
        <w:rPr>
          <w:rFonts w:ascii="Microsoft YaHei" w:hAnsi="Microsoft YaHei"/>
        </w:rPr>
        <w:t>，全天最高触及1.47元，未出现明显回落。振幅仅为</w:t>
      </w:r>
      <w:r>
        <w:rPr>
          <w:rFonts w:ascii="Microsoft YaHei" w:hAnsi="Microsoft YaHei"/>
          <w:b/>
          <w:color w:val="1A1A1A"/>
        </w:rPr>
        <w:t>2.8%</w:t>
      </w:r>
      <w:r>
        <w:rPr>
          <w:rFonts w:ascii="Microsoft YaHei" w:hAnsi="Microsoft YaHei"/>
        </w:rPr>
        <w:t>，显示盘中抛压较轻、买盘承接有力。</w:t>
      </w:r>
    </w:p>
    <w:p>
      <w:pPr>
        <w:spacing w:before="280" w:after="80" w:line="312" w:lineRule="auto"/>
      </w:pPr>
      <w:r>
        <w:rPr>
          <w:rFonts w:ascii="Microsoft YaHei" w:hAnsi="Microsoft YaHei"/>
          <w:b/>
          <w:color w:val="333333"/>
          <w:sz w:val="24"/>
        </w:rPr>
        <w:t>量能分析</w:t>
      </w:r>
    </w:p>
    <w:p>
      <w:r>
        <w:rPr>
          <w:rFonts w:ascii="Microsoft YaHei" w:hAnsi="Microsoft YaHei"/>
        </w:rPr>
        <w:t>今日半日换手率</w:t>
      </w:r>
      <w:r>
        <w:rPr>
          <w:rFonts w:ascii="Microsoft YaHei" w:hAnsi="Microsoft YaHei"/>
          <w:b/>
          <w:color w:val="1A1A1A"/>
        </w:rPr>
        <w:t>0.77%</w:t>
      </w:r>
      <w:r>
        <w:rPr>
          <w:rFonts w:ascii="Microsoft YaHei" w:hAnsi="Microsoft YaHei"/>
        </w:rPr>
        <w:t>，已显著超过上一个交易日全日换手率</w:t>
      </w:r>
      <w:r>
        <w:rPr>
          <w:rFonts w:ascii="Microsoft YaHei" w:hAnsi="Microsoft YaHei"/>
          <w:b/>
          <w:color w:val="1A1A1A"/>
        </w:rPr>
        <w:t>0.42%</w:t>
      </w:r>
      <w:r>
        <w:rPr>
          <w:rFonts w:ascii="Microsoft YaHei" w:hAnsi="Microsoft YaHei"/>
        </w:rPr>
        <w:t>，放大倍数为</w:t>
      </w:r>
      <w:r>
        <w:rPr>
          <w:rFonts w:ascii="Microsoft YaHei" w:hAnsi="Microsoft YaHei"/>
          <w:b/>
          <w:color w:val="1A1A1A"/>
        </w:rPr>
        <w:t>1.83倍</w:t>
      </w:r>
      <w:r>
        <w:rPr>
          <w:rFonts w:ascii="Microsoft YaHei" w:hAnsi="Microsoft YaHei"/>
        </w:rPr>
        <w:t>；量比</w:t>
      </w:r>
      <w:r>
        <w:rPr>
          <w:rFonts w:ascii="Microsoft YaHei" w:hAnsi="Microsoft YaHei"/>
          <w:b/>
          <w:color w:val="1A1A1A"/>
        </w:rPr>
        <w:t>1.36</w:t>
      </w:r>
      <w:r>
        <w:rPr>
          <w:rFonts w:ascii="Microsoft YaHei" w:hAnsi="Microsoft YaHei"/>
        </w:rPr>
        <w:t>，均明确指向</w:t>
      </w:r>
      <w:r>
        <w:rPr>
          <w:rFonts w:ascii="Microsoft YaHei" w:hAnsi="Microsoft YaHei"/>
          <w:b/>
          <w:color w:val="1A1A1A"/>
        </w:rPr>
        <w:t>放量上攻</w:t>
      </w:r>
      <w:r>
        <w:rPr>
          <w:rFonts w:ascii="Microsoft YaHei" w:hAnsi="Microsoft YaHei"/>
        </w:rPr>
        <w:t>。</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资金面</w:t>
      </w:r>
    </w:p>
    <w:p>
      <w:pPr>
        <w:spacing w:before="280" w:after="80" w:line="312" w:lineRule="auto"/>
      </w:pPr>
      <w:r>
        <w:rPr>
          <w:rFonts w:ascii="Microsoft YaHei" w:hAnsi="Microsoft YaHei"/>
          <w:b/>
          <w:color w:val="333333"/>
          <w:sz w:val="24"/>
        </w:rPr>
        <w:t>今日盘中资金流向（逐分钟统计）</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shd w:fill="F6F8FA" w:val="clear"/>
          </w:tcPr>
          <w:p>
            <w:pPr>
              <w:spacing w:before="40" w:after="40" w:line="288" w:lineRule="auto"/>
            </w:pPr>
            <w:r/>
            <w:r>
              <w:rPr>
                <w:rFonts w:ascii="Microsoft YaHei" w:hAnsi="Microsoft YaHei"/>
                <w:b/>
                <w:color w:val="1A1A1A"/>
                <w:sz w:val="18"/>
              </w:rPr>
              <w:t>维度</w:t>
            </w:r>
          </w:p>
        </w:tc>
        <w:tc>
          <w:tcPr>
            <w:tcW w:type="dxa" w:w="4533"/>
            <w:shd w:fill="F6F8FA" w:val="clear"/>
          </w:tcPr>
          <w:p>
            <w:pPr>
              <w:spacing w:before="40" w:after="40" w:line="288" w:lineRule="auto"/>
            </w:pPr>
            <w:r/>
            <w:r>
              <w:rPr>
                <w:rFonts w:ascii="Microsoft YaHei" w:hAnsi="Microsoft YaHei"/>
                <w:b/>
                <w:color w:val="1A1A1A"/>
                <w:sz w:val="18"/>
              </w:rPr>
              <w:t>数据</w:t>
            </w:r>
          </w:p>
        </w:tc>
      </w:tr>
      <w:tr>
        <w:tc>
          <w:tcPr>
            <w:tcW w:type="dxa" w:w="4533"/>
          </w:tcPr>
          <w:p>
            <w:pPr>
              <w:spacing w:before="40" w:after="40" w:line="288" w:lineRule="auto"/>
            </w:pPr>
            <w:r/>
            <w:r>
              <w:rPr>
                <w:rFonts w:ascii="Microsoft YaHei" w:hAnsi="Microsoft YaHei"/>
                <w:sz w:val="18"/>
              </w:rPr>
              <w:t>净流向</w:t>
            </w:r>
          </w:p>
        </w:tc>
        <w:tc>
          <w:tcPr>
            <w:tcW w:type="dxa" w:w="4533"/>
          </w:tcPr>
          <w:p>
            <w:pPr>
              <w:spacing w:before="40" w:after="40" w:line="288" w:lineRule="auto"/>
            </w:pPr>
            <w:r/>
            <w:r>
              <w:rPr>
                <w:rFonts w:ascii="Microsoft YaHei" w:hAnsi="Microsoft YaHei"/>
                <w:b/>
                <w:color w:val="1A1A1A"/>
                <w:sz w:val="18"/>
              </w:rPr>
              <w:t>净流入 4409.96万元</w:t>
            </w:r>
          </w:p>
        </w:tc>
      </w:tr>
      <w:tr>
        <w:tc>
          <w:tcPr>
            <w:tcW w:type="dxa" w:w="4533"/>
            <w:shd w:fill="F8F9FA" w:val="clear"/>
          </w:tcPr>
          <w:p>
            <w:pPr>
              <w:spacing w:before="40" w:after="40" w:line="288" w:lineRule="auto"/>
            </w:pPr>
            <w:r/>
            <w:r>
              <w:rPr>
                <w:rFonts w:ascii="Microsoft YaHei" w:hAnsi="Microsoft YaHei"/>
                <w:sz w:val="18"/>
              </w:rPr>
              <w:t>资金流向分钟数</w:t>
            </w:r>
          </w:p>
        </w:tc>
        <w:tc>
          <w:tcPr>
            <w:tcW w:type="dxa" w:w="4533"/>
            <w:shd w:fill="F8F9FA" w:val="clear"/>
          </w:tcPr>
          <w:p>
            <w:pPr>
              <w:spacing w:before="40" w:after="40" w:line="288" w:lineRule="auto"/>
            </w:pPr>
            <w:r/>
            <w:r>
              <w:rPr>
                <w:rFonts w:ascii="Microsoft YaHei" w:hAnsi="Microsoft YaHei"/>
                <w:sz w:val="18"/>
              </w:rPr>
              <w:t>流入66分钟 / 流出47分钟</w:t>
            </w:r>
          </w:p>
        </w:tc>
      </w:tr>
      <w:tr>
        <w:tc>
          <w:tcPr>
            <w:tcW w:type="dxa" w:w="4533"/>
          </w:tcPr>
          <w:p>
            <w:pPr>
              <w:spacing w:before="40" w:after="40" w:line="288" w:lineRule="auto"/>
            </w:pPr>
            <w:r/>
            <w:r>
              <w:rPr>
                <w:rFonts w:ascii="Microsoft YaHei" w:hAnsi="Microsoft YaHei"/>
                <w:sz w:val="18"/>
              </w:rPr>
              <w:t>最大单分钟流入</w:t>
            </w:r>
          </w:p>
        </w:tc>
        <w:tc>
          <w:tcPr>
            <w:tcW w:type="dxa" w:w="4533"/>
          </w:tcPr>
          <w:p>
            <w:pPr>
              <w:spacing w:before="40" w:after="40" w:line="288" w:lineRule="auto"/>
            </w:pPr>
            <w:r/>
            <w:r>
              <w:rPr>
                <w:rFonts w:ascii="Microsoft YaHei" w:hAnsi="Microsoft YaHei"/>
                <w:b/>
                <w:color w:val="1A1A1A"/>
                <w:sz w:val="18"/>
              </w:rPr>
              <w:t>1177.8万元</w:t>
            </w:r>
          </w:p>
        </w:tc>
      </w:tr>
      <w:tr>
        <w:tc>
          <w:tcPr>
            <w:tcW w:type="dxa" w:w="4533"/>
            <w:shd w:fill="F8F9FA" w:val="clear"/>
          </w:tcPr>
          <w:p>
            <w:pPr>
              <w:spacing w:before="40" w:after="40" w:line="288" w:lineRule="auto"/>
            </w:pPr>
            <w:r/>
            <w:r>
              <w:rPr>
                <w:rFonts w:ascii="Microsoft YaHei" w:hAnsi="Microsoft YaHei"/>
                <w:sz w:val="18"/>
              </w:rPr>
              <w:t>最大单分钟流出</w:t>
            </w:r>
          </w:p>
        </w:tc>
        <w:tc>
          <w:tcPr>
            <w:tcW w:type="dxa" w:w="4533"/>
            <w:shd w:fill="F8F9FA" w:val="clear"/>
          </w:tcPr>
          <w:p>
            <w:pPr>
              <w:spacing w:before="40" w:after="40" w:line="288" w:lineRule="auto"/>
            </w:pPr>
            <w:r/>
            <w:r>
              <w:rPr>
                <w:rFonts w:ascii="Microsoft YaHei" w:hAnsi="Microsoft YaHei"/>
                <w:sz w:val="18"/>
              </w:rPr>
              <w:t>77.6万元</w:t>
            </w:r>
          </w:p>
        </w:tc>
      </w:tr>
    </w:tbl>
    <w:p/>
    <w:p>
      <w:r>
        <w:rPr>
          <w:rFonts w:ascii="Microsoft YaHei" w:hAnsi="Microsoft YaHei"/>
          <w:b/>
          <w:color w:val="1A1A1A"/>
        </w:rPr>
        <w:t>净流入4409.96万元</w:t>
      </w:r>
      <w:r>
        <w:rPr>
          <w:rFonts w:ascii="Microsoft YaHei" w:hAnsi="Microsoft YaHei"/>
        </w:rPr>
        <w:t>，且资金流入时长（66分钟）远超流出时长（47分钟），单分钟最大流入高达</w:t>
      </w:r>
      <w:r>
        <w:rPr>
          <w:rFonts w:ascii="Microsoft YaHei" w:hAnsi="Microsoft YaHei"/>
          <w:b/>
          <w:color w:val="1A1A1A"/>
        </w:rPr>
        <w:t>1177.8万元</w:t>
      </w:r>
      <w:r>
        <w:rPr>
          <w:rFonts w:ascii="Microsoft YaHei" w:hAnsi="Microsoft YaHei"/>
        </w:rPr>
        <w:t>，而最大单分钟流出仅</w:t>
      </w:r>
      <w:r>
        <w:rPr>
          <w:rFonts w:ascii="Microsoft YaHei" w:hAnsi="Microsoft YaHei"/>
          <w:b/>
          <w:color w:val="1A1A1A"/>
        </w:rPr>
        <w:t>77.6万元</w:t>
      </w:r>
      <w:r>
        <w:rPr>
          <w:rFonts w:ascii="Microsoft YaHei" w:hAnsi="Microsoft YaHei"/>
        </w:rPr>
        <w:t>，多空力量对比悬殊，说明主力资金主动买入意愿强烈。</w:t>
      </w:r>
    </w:p>
    <w:p>
      <w:pPr>
        <w:spacing w:before="280" w:after="80" w:line="312" w:lineRule="auto"/>
      </w:pPr>
      <w:r>
        <w:rPr>
          <w:rFonts w:ascii="Microsoft YaHei" w:hAnsi="Microsoft YaHei"/>
          <w:b/>
          <w:color w:val="333333"/>
          <w:sz w:val="24"/>
        </w:rPr>
        <w:t>上一个交易日资金细分</w:t>
      </w:r>
    </w:p>
    <w:p>
      <w:r>
        <w:rPr>
          <w:rFonts w:ascii="Microsoft YaHei" w:hAnsi="Microsoft YaHei"/>
        </w:rPr>
        <w:t>上一个交易日，大单净流入</w:t>
      </w:r>
      <w:r>
        <w:rPr>
          <w:rFonts w:ascii="Microsoft YaHei" w:hAnsi="Microsoft YaHei"/>
          <w:b/>
          <w:color w:val="1A1A1A"/>
        </w:rPr>
        <w:t>+3841.96万元</w:t>
      </w:r>
      <w:r>
        <w:rPr>
          <w:rFonts w:ascii="Microsoft YaHei" w:hAnsi="Microsoft YaHei"/>
        </w:rPr>
        <w:t>，中单+62.1万元，小单+507.5万元，全日合计净流入</w:t>
      </w:r>
      <w:r>
        <w:rPr>
          <w:rFonts w:ascii="Microsoft YaHei" w:hAnsi="Microsoft YaHei"/>
          <w:b/>
          <w:color w:val="1A1A1A"/>
        </w:rPr>
        <w:t>+4411.6万元</w:t>
      </w:r>
      <w:r>
        <w:rPr>
          <w:rFonts w:ascii="Microsoft YaHei" w:hAnsi="Microsoft YaHei"/>
        </w:rPr>
        <w:t>。今日盘中再次净流入约4410万元，</w:t>
      </w:r>
      <w:r>
        <w:rPr>
          <w:rFonts w:ascii="Microsoft YaHei" w:hAnsi="Microsoft YaHei"/>
          <w:b/>
          <w:color w:val="1A1A1A"/>
        </w:rPr>
        <w:t>连续两日出现大额资金净流入</w:t>
      </w:r>
      <w:r>
        <w:rPr>
          <w:rFonts w:ascii="Microsoft YaHei" w:hAnsi="Microsoft YaHei"/>
        </w:rPr>
        <w:t>，资金进场节奏连贯。</w:t>
      </w:r>
    </w:p>
    <w:p>
      <w:pPr>
        <w:spacing w:before="280" w:after="80" w:line="312" w:lineRule="auto"/>
      </w:pPr>
      <w:r>
        <w:rPr>
          <w:rFonts w:ascii="Microsoft YaHei" w:hAnsi="Microsoft YaHei"/>
          <w:b/>
          <w:color w:val="333333"/>
          <w:sz w:val="24"/>
        </w:rPr>
        <w:t>融资融券</w:t>
      </w:r>
    </w:p>
    <w:p>
      <w:r>
        <w:rPr>
          <w:rFonts w:ascii="Microsoft YaHei" w:hAnsi="Microsoft YaHei"/>
        </w:rPr>
        <w:t>融资余额</w:t>
      </w:r>
      <w:r>
        <w:rPr>
          <w:rFonts w:ascii="Microsoft YaHei" w:hAnsi="Microsoft YaHei"/>
          <w:b/>
          <w:color w:val="1A1A1A"/>
        </w:rPr>
        <w:t>2.37亿元</w:t>
      </w:r>
      <w:r>
        <w:rPr>
          <w:rFonts w:ascii="Microsoft YaHei" w:hAnsi="Microsoft YaHei"/>
        </w:rPr>
        <w:t>，占流通市值比例仅</w:t>
      </w:r>
      <w:r>
        <w:rPr>
          <w:rFonts w:ascii="Microsoft YaHei" w:hAnsi="Microsoft YaHei"/>
          <w:b/>
          <w:color w:val="1A1A1A"/>
        </w:rPr>
        <w:t>0.88%</w:t>
      </w:r>
      <w:r>
        <w:rPr>
          <w:rFonts w:ascii="Microsoft YaHei" w:hAnsi="Microsoft YaHei"/>
        </w:rPr>
        <w:t>，低于近一年30%分位水平，杠杆参与度处于历史低位。昨日融资净偿还</w:t>
      </w:r>
      <w:r>
        <w:rPr>
          <w:rFonts w:ascii="Microsoft YaHei" w:hAnsi="Microsoft YaHei"/>
          <w:b/>
          <w:color w:val="1A1A1A"/>
        </w:rPr>
        <w:t>245.1万元</w:t>
      </w:r>
      <w:r>
        <w:rPr>
          <w:rFonts w:ascii="Microsoft YaHei" w:hAnsi="Microsoft YaHei"/>
        </w:rPr>
        <w:t>，融券余额</w:t>
      </w:r>
      <w:r>
        <w:rPr>
          <w:rFonts w:ascii="Microsoft YaHei" w:hAnsi="Microsoft YaHei"/>
          <w:b/>
          <w:color w:val="1A1A1A"/>
        </w:rPr>
        <w:t>0.04亿元</w:t>
      </w:r>
      <w:r>
        <w:rPr>
          <w:rFonts w:ascii="Microsoft YaHei" w:hAnsi="Microsoft YaHei"/>
        </w:rPr>
        <w:t>（较前日-9.25%），做空力量同步减弱。</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技术面</w:t>
      </w:r>
    </w:p>
    <w:p>
      <w:pPr>
        <w:spacing w:before="280" w:after="80" w:line="312" w:lineRule="auto"/>
      </w:pPr>
      <w:r>
        <w:rPr>
          <w:rFonts w:ascii="Microsoft YaHei" w:hAnsi="Microsoft YaHei"/>
          <w:b/>
          <w:color w:val="333333"/>
          <w:sz w:val="24"/>
        </w:rPr>
        <w:t>均线系统</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shd w:fill="F6F8FA" w:val="clear"/>
          </w:tcPr>
          <w:p>
            <w:pPr>
              <w:spacing w:before="40" w:after="40" w:line="288" w:lineRule="auto"/>
            </w:pPr>
            <w:r/>
            <w:r>
              <w:rPr>
                <w:rFonts w:ascii="Microsoft YaHei" w:hAnsi="Microsoft YaHei"/>
                <w:b/>
                <w:color w:val="1A1A1A"/>
                <w:sz w:val="18"/>
              </w:rPr>
              <w:t>均线</w:t>
            </w:r>
          </w:p>
        </w:tc>
        <w:tc>
          <w:tcPr>
            <w:tcW w:type="dxa" w:w="3022"/>
            <w:shd w:fill="F6F8FA" w:val="clear"/>
          </w:tcPr>
          <w:p>
            <w:pPr>
              <w:spacing w:before="40" w:after="40" w:line="288" w:lineRule="auto"/>
            </w:pPr>
            <w:r/>
            <w:r>
              <w:rPr>
                <w:rFonts w:ascii="Microsoft YaHei" w:hAnsi="Microsoft YaHei"/>
                <w:b/>
                <w:color w:val="1A1A1A"/>
                <w:sz w:val="18"/>
              </w:rPr>
              <w:t>价格</w:t>
            </w:r>
          </w:p>
        </w:tc>
        <w:tc>
          <w:tcPr>
            <w:tcW w:type="dxa" w:w="3022"/>
            <w:shd w:fill="F6F8FA" w:val="clear"/>
          </w:tcPr>
          <w:p>
            <w:pPr>
              <w:spacing w:before="40" w:after="40" w:line="288" w:lineRule="auto"/>
            </w:pPr>
            <w:r/>
            <w:r>
              <w:rPr>
                <w:rFonts w:ascii="Microsoft YaHei" w:hAnsi="Microsoft YaHei"/>
                <w:b/>
                <w:color w:val="1A1A1A"/>
                <w:sz w:val="18"/>
              </w:rPr>
              <w:t>相对位置</w:t>
            </w:r>
          </w:p>
        </w:tc>
      </w:tr>
      <w:tr>
        <w:tc>
          <w:tcPr>
            <w:tcW w:type="dxa" w:w="3022"/>
          </w:tcPr>
          <w:p>
            <w:pPr>
              <w:spacing w:before="40" w:after="40" w:line="288" w:lineRule="auto"/>
            </w:pPr>
            <w:r/>
            <w:r>
              <w:rPr>
                <w:rFonts w:ascii="Microsoft YaHei" w:hAnsi="Microsoft YaHei"/>
                <w:sz w:val="18"/>
              </w:rPr>
              <w:t>MA5</w:t>
            </w:r>
          </w:p>
        </w:tc>
        <w:tc>
          <w:tcPr>
            <w:tcW w:type="dxa" w:w="3022"/>
          </w:tcPr>
          <w:p>
            <w:pPr>
              <w:spacing w:before="40" w:after="40" w:line="288" w:lineRule="auto"/>
            </w:pPr>
            <w:r/>
            <w:r>
              <w:rPr>
                <w:rFonts w:ascii="Microsoft YaHei" w:hAnsi="Microsoft YaHei"/>
                <w:sz w:val="18"/>
              </w:rPr>
              <w:t>~1.46元</w:t>
            </w:r>
          </w:p>
        </w:tc>
        <w:tc>
          <w:tcPr>
            <w:tcW w:type="dxa" w:w="3022"/>
          </w:tcPr>
          <w:p>
            <w:pPr>
              <w:spacing w:before="40" w:after="40" w:line="288" w:lineRule="auto"/>
            </w:pPr>
            <w:r/>
            <w:r>
              <w:rPr>
                <w:rFonts w:ascii="Microsoft YaHei" w:hAnsi="Microsoft YaHei"/>
                <w:sz w:val="18"/>
              </w:rPr>
              <w:t xml:space="preserve">上方 </w:t>
            </w:r>
            <w:r>
              <w:rPr>
                <w:rFonts w:ascii="Microsoft YaHei" w:hAnsi="Microsoft YaHei"/>
                <w:b/>
                <w:color w:val="1A1A1A"/>
                <w:sz w:val="18"/>
              </w:rPr>
              <w:t>+0.7%</w:t>
            </w:r>
          </w:p>
        </w:tc>
      </w:tr>
      <w:tr>
        <w:tc>
          <w:tcPr>
            <w:tcW w:type="dxa" w:w="3022"/>
            <w:shd w:fill="F8F9FA" w:val="clear"/>
          </w:tcPr>
          <w:p>
            <w:pPr>
              <w:spacing w:before="40" w:after="40" w:line="288" w:lineRule="auto"/>
            </w:pPr>
            <w:r/>
            <w:r>
              <w:rPr>
                <w:rFonts w:ascii="Microsoft YaHei" w:hAnsi="Microsoft YaHei"/>
                <w:sz w:val="18"/>
              </w:rPr>
              <w:t>MA10</w:t>
            </w:r>
          </w:p>
        </w:tc>
        <w:tc>
          <w:tcPr>
            <w:tcW w:type="dxa" w:w="3022"/>
            <w:shd w:fill="F8F9FA" w:val="clear"/>
          </w:tcPr>
          <w:p>
            <w:pPr>
              <w:spacing w:before="40" w:after="40" w:line="288" w:lineRule="auto"/>
            </w:pPr>
            <w:r/>
            <w:r>
              <w:rPr>
                <w:rFonts w:ascii="Microsoft YaHei" w:hAnsi="Microsoft YaHei"/>
                <w:sz w:val="18"/>
              </w:rPr>
              <w:t>~1.45元</w:t>
            </w:r>
          </w:p>
        </w:tc>
        <w:tc>
          <w:tcPr>
            <w:tcW w:type="dxa" w:w="3022"/>
            <w:shd w:fill="F8F9FA" w:val="clear"/>
          </w:tcPr>
          <w:p>
            <w:pPr>
              <w:spacing w:before="40" w:after="40" w:line="288" w:lineRule="auto"/>
            </w:pPr>
            <w:r/>
            <w:r>
              <w:rPr>
                <w:rFonts w:ascii="Microsoft YaHei" w:hAnsi="Microsoft YaHei"/>
                <w:sz w:val="18"/>
              </w:rPr>
              <w:t xml:space="preserve">上方 </w:t>
            </w:r>
            <w:r>
              <w:rPr>
                <w:rFonts w:ascii="Microsoft YaHei" w:hAnsi="Microsoft YaHei"/>
                <w:b/>
                <w:color w:val="1A1A1A"/>
                <w:sz w:val="18"/>
              </w:rPr>
              <w:t>+1.4%</w:t>
            </w:r>
          </w:p>
        </w:tc>
      </w:tr>
      <w:tr>
        <w:tc>
          <w:tcPr>
            <w:tcW w:type="dxa" w:w="3022"/>
          </w:tcPr>
          <w:p>
            <w:pPr>
              <w:spacing w:before="40" w:after="40" w:line="288" w:lineRule="auto"/>
            </w:pPr>
            <w:r/>
            <w:r>
              <w:rPr>
                <w:rFonts w:ascii="Microsoft YaHei" w:hAnsi="Microsoft YaHei"/>
                <w:sz w:val="18"/>
              </w:rPr>
              <w:t>MA20（布林中轨）</w:t>
            </w:r>
          </w:p>
        </w:tc>
        <w:tc>
          <w:tcPr>
            <w:tcW w:type="dxa" w:w="3022"/>
          </w:tcPr>
          <w:p>
            <w:pPr>
              <w:spacing w:before="40" w:after="40" w:line="288" w:lineRule="auto"/>
            </w:pPr>
            <w:r/>
            <w:r>
              <w:rPr>
                <w:rFonts w:ascii="Microsoft YaHei" w:hAnsi="Microsoft YaHei"/>
                <w:sz w:val="18"/>
              </w:rPr>
              <w:t>~1.41元</w:t>
            </w:r>
          </w:p>
        </w:tc>
        <w:tc>
          <w:tcPr>
            <w:tcW w:type="dxa" w:w="3022"/>
          </w:tcPr>
          <w:p>
            <w:pPr>
              <w:spacing w:before="40" w:after="40" w:line="288" w:lineRule="auto"/>
            </w:pPr>
            <w:r/>
            <w:r>
              <w:rPr>
                <w:rFonts w:ascii="Microsoft YaHei" w:hAnsi="Microsoft YaHei"/>
                <w:sz w:val="18"/>
              </w:rPr>
              <w:t xml:space="preserve">上方 </w:t>
            </w:r>
            <w:r>
              <w:rPr>
                <w:rFonts w:ascii="Microsoft YaHei" w:hAnsi="Microsoft YaHei"/>
                <w:b/>
                <w:color w:val="1A1A1A"/>
                <w:sz w:val="18"/>
              </w:rPr>
              <w:t>+4.3%</w:t>
            </w:r>
          </w:p>
        </w:tc>
      </w:tr>
    </w:tbl>
    <w:p/>
    <w:p>
      <w:r>
        <w:rPr>
          <w:rFonts w:ascii="Microsoft YaHei" w:hAnsi="Microsoft YaHei"/>
        </w:rPr>
        <w:t>当前价</w:t>
      </w:r>
      <w:r>
        <w:rPr>
          <w:rFonts w:ascii="Microsoft YaHei" w:hAnsi="Microsoft YaHei"/>
          <w:b/>
          <w:color w:val="1A1A1A"/>
        </w:rPr>
        <w:t>1.47元</w:t>
      </w:r>
      <w:r>
        <w:rPr>
          <w:rFonts w:ascii="Microsoft YaHei" w:hAnsi="Microsoft YaHei"/>
        </w:rPr>
        <w:t>已站稳MA5、MA10和MA20三条均线，短中期均线系统呈</w:t>
      </w:r>
      <w:r>
        <w:rPr>
          <w:rFonts w:ascii="Microsoft YaHei" w:hAnsi="Microsoft YaHei"/>
          <w:b/>
          <w:color w:val="1A1A1A"/>
        </w:rPr>
        <w:t>多头排列</w:t>
      </w:r>
      <w:r>
        <w:rPr>
          <w:rFonts w:ascii="Microsoft YaHei" w:hAnsi="Microsoft YaHei"/>
        </w:rPr>
        <w:t>。MA5/MA10/MA20形成自下而上的正向发散结构，表明短期趋势向上确立。</w:t>
      </w:r>
    </w:p>
    <w:p>
      <w:pPr>
        <w:spacing w:before="280" w:after="80" w:line="312" w:lineRule="auto"/>
      </w:pPr>
      <w:r>
        <w:rPr>
          <w:rFonts w:ascii="Microsoft YaHei" w:hAnsi="Microsoft YaHei"/>
          <w:b/>
          <w:color w:val="333333"/>
          <w:sz w:val="24"/>
        </w:rPr>
        <w:t>布林带（BOLL）</w:t>
      </w:r>
    </w:p>
    <w:p>
      <w:pPr>
        <w:pStyle w:val="ListBullet"/>
      </w:pPr>
      <w:r>
        <w:rPr>
          <w:rFonts w:ascii="Microsoft YaHei" w:hAnsi="Microsoft YaHei"/>
        </w:rPr>
        <w:t>布林带上轨：</w:t>
      </w:r>
      <w:r>
        <w:rPr>
          <w:rFonts w:ascii="Microsoft YaHei" w:hAnsi="Microsoft YaHei"/>
          <w:b/>
          <w:color w:val="1A1A1A"/>
        </w:rPr>
        <w:t>1.49元</w:t>
      </w:r>
    </w:p>
    <w:p>
      <w:pPr>
        <w:pStyle w:val="ListBullet"/>
      </w:pPr>
      <w:r>
        <w:rPr>
          <w:rFonts w:ascii="Microsoft YaHei" w:hAnsi="Microsoft YaHei"/>
        </w:rPr>
        <w:t>布林中轨（MA20）：1.41元</w:t>
      </w:r>
    </w:p>
    <w:p>
      <w:pPr>
        <w:pStyle w:val="ListBullet"/>
      </w:pPr>
      <w:r>
        <w:rPr>
          <w:rFonts w:ascii="Microsoft YaHei" w:hAnsi="Microsoft YaHei"/>
        </w:rPr>
        <w:t>布林带下轨：1.33元</w:t>
      </w:r>
    </w:p>
    <w:p>
      <w:pPr>
        <w:pStyle w:val="ListBullet"/>
      </w:pPr>
      <w:r>
        <w:rPr>
          <w:rFonts w:ascii="Microsoft YaHei" w:hAnsi="Microsoft YaHei"/>
        </w:rPr>
        <w:t>当前价1.47元距离上轨1.49元仅有</w:t>
      </w:r>
      <w:r>
        <w:rPr>
          <w:rFonts w:ascii="Microsoft YaHei" w:hAnsi="Microsoft YaHei"/>
          <w:b/>
          <w:color w:val="1A1A1A"/>
        </w:rPr>
        <w:t>1.36%</w:t>
      </w:r>
      <w:r>
        <w:rPr>
          <w:rFonts w:ascii="Microsoft YaHei" w:hAnsi="Microsoft YaHei"/>
        </w:rPr>
        <w:t>的空间</w:t>
      </w:r>
    </w:p>
    <w:p>
      <w:r>
        <w:rPr>
          <w:rFonts w:ascii="Microsoft YaHei" w:hAnsi="Microsoft YaHei"/>
        </w:rPr>
        <w:t>价格在中轨与上轨之间运行，处于</w:t>
      </w:r>
      <w:r>
        <w:rPr>
          <w:rFonts w:ascii="Microsoft YaHei" w:hAnsi="Microsoft YaHei"/>
          <w:b/>
          <w:color w:val="1A1A1A"/>
        </w:rPr>
        <w:t>强势区间</w:t>
      </w:r>
      <w:r>
        <w:rPr>
          <w:rFonts w:ascii="Microsoft YaHei" w:hAnsi="Microsoft YaHei"/>
        </w:rPr>
        <w:t>但尚未触及上轨，仍具备一定的上攻空间。若后续量能持续配合，有望向上轨1.49元发起挑战。</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新闻资讯</w:t>
      </w:r>
    </w:p>
    <w:p>
      <w:pPr>
        <w:spacing w:before="280" w:after="80" w:line="312" w:lineRule="auto"/>
      </w:pPr>
      <w:r>
        <w:rPr>
          <w:rFonts w:ascii="Microsoft YaHei" w:hAnsi="Microsoft YaHei"/>
          <w:b/>
          <w:color w:val="333333"/>
          <w:sz w:val="24"/>
        </w:rPr>
        <w:t>1. 融资信息（中性偏积极）</w:t>
      </w:r>
    </w:p>
    <w:p>
      <w:r>
        <w:rPr>
          <w:rFonts w:ascii="Microsoft YaHei" w:hAnsi="Microsoft YaHei"/>
        </w:rPr>
        <w:t>昨日融资买入</w:t>
      </w:r>
      <w:r>
        <w:rPr>
          <w:rFonts w:ascii="Microsoft YaHei" w:hAnsi="Microsoft YaHei"/>
          <w:b/>
          <w:color w:val="1A1A1A"/>
        </w:rPr>
        <w:t>686.45万元</w:t>
      </w:r>
      <w:r>
        <w:rPr>
          <w:rFonts w:ascii="Microsoft YaHei" w:hAnsi="Microsoft YaHei"/>
        </w:rPr>
        <w:t>，融资余额2.37亿元处于近一年</w:t>
      </w:r>
      <w:r>
        <w:rPr>
          <w:rFonts w:ascii="Microsoft YaHei" w:hAnsi="Microsoft YaHei"/>
          <w:b/>
          <w:color w:val="1A1A1A"/>
        </w:rPr>
        <w:t>30%分位数以下</w:t>
      </w:r>
      <w:r>
        <w:rPr>
          <w:rFonts w:ascii="Microsoft YaHei" w:hAnsi="Microsoft YaHei"/>
        </w:rPr>
        <w:t>的低位水平。融资余额偏低意味着未来杠杆资金回补空间较大，若行情持续走强，融资盘存在加仓潜力。</w:t>
      </w:r>
    </w:p>
    <w:p>
      <w:pPr>
        <w:spacing w:before="280" w:after="80" w:line="312" w:lineRule="auto"/>
      </w:pPr>
      <w:r>
        <w:rPr>
          <w:rFonts w:ascii="Microsoft YaHei" w:hAnsi="Microsoft YaHei"/>
          <w:b/>
          <w:color w:val="333333"/>
          <w:sz w:val="24"/>
        </w:rPr>
        <w:t>2. 南向资金动态（中性）</w:t>
      </w:r>
    </w:p>
    <w:p>
      <w:r>
        <w:rPr>
          <w:rFonts w:ascii="Microsoft YaHei" w:hAnsi="Microsoft YaHei"/>
        </w:rPr>
        <w:t>港股方面，南向资金昨日</w:t>
      </w:r>
      <w:r>
        <w:rPr>
          <w:rFonts w:ascii="Microsoft YaHei" w:hAnsi="Microsoft YaHei"/>
          <w:b/>
          <w:color w:val="1A1A1A"/>
        </w:rPr>
        <w:t>增持37万股</w:t>
      </w:r>
      <w:r>
        <w:rPr>
          <w:rFonts w:ascii="Microsoft YaHei" w:hAnsi="Microsoft YaHei"/>
        </w:rPr>
        <w:t>，但近5个交易日累计净减持</w:t>
      </w:r>
      <w:r>
        <w:rPr>
          <w:rFonts w:ascii="Microsoft YaHei" w:hAnsi="Microsoft YaHei"/>
          <w:b/>
          <w:color w:val="1A1A1A"/>
        </w:rPr>
        <w:t>87.8万股</w:t>
      </w:r>
      <w:r>
        <w:rPr>
          <w:rFonts w:ascii="Microsoft YaHei" w:hAnsi="Microsoft YaHei"/>
        </w:rPr>
        <w:t>，近20个交易日累计净减持</w:t>
      </w:r>
      <w:r>
        <w:rPr>
          <w:rFonts w:ascii="Microsoft YaHei" w:hAnsi="Microsoft YaHei"/>
          <w:b/>
          <w:color w:val="1A1A1A"/>
        </w:rPr>
        <w:t>1405.98万股</w:t>
      </w:r>
      <w:r>
        <w:rPr>
          <w:rFonts w:ascii="Microsoft YaHei" w:hAnsi="Microsoft YaHei"/>
        </w:rPr>
        <w:t>。短期有边际改善，但中期趋势仍在净流出，AH联动影响有限。</w:t>
      </w:r>
    </w:p>
    <w:p>
      <w:pPr>
        <w:spacing w:before="280" w:after="80" w:line="312" w:lineRule="auto"/>
      </w:pPr>
      <w:r>
        <w:rPr>
          <w:rFonts w:ascii="Microsoft YaHei" w:hAnsi="Microsoft YaHei"/>
          <w:b/>
          <w:color w:val="333333"/>
          <w:sz w:val="24"/>
        </w:rPr>
        <w:t>3. 大连边检站"三韵齐鸣"赋能东北开放（偏积极）</w:t>
      </w:r>
    </w:p>
    <w:p>
      <w:r>
        <w:rPr>
          <w:rFonts w:ascii="Microsoft YaHei" w:hAnsi="Microsoft YaHei"/>
        </w:rPr>
        <w:t>该消息指向大连口岸通关便利化提升，对辽港股份所在的大连港口区域构成</w:t>
      </w:r>
      <w:r>
        <w:rPr>
          <w:rFonts w:ascii="Microsoft YaHei" w:hAnsi="Microsoft YaHei"/>
          <w:b/>
          <w:color w:val="1A1A1A"/>
        </w:rPr>
        <w:t>区域内政策利好</w:t>
      </w:r>
      <w:r>
        <w:rPr>
          <w:rFonts w:ascii="Microsoft YaHei" w:hAnsi="Microsoft YaHei"/>
        </w:rPr>
        <w:t>，有利于提升港口吞吐效率，增强货物流转吸引力。</w:t>
      </w:r>
    </w:p>
    <w:p>
      <w:pPr>
        <w:spacing w:before="280" w:after="80" w:line="312" w:lineRule="auto"/>
      </w:pPr>
      <w:r>
        <w:rPr>
          <w:rFonts w:ascii="Microsoft YaHei" w:hAnsi="Microsoft YaHei"/>
          <w:b/>
          <w:color w:val="333333"/>
          <w:sz w:val="24"/>
        </w:rPr>
        <w:t>4. 隔夜全球要闻 — 霍尔木兹海峡航运管理提案（潜在催化）</w:t>
      </w:r>
    </w:p>
    <w:p>
      <w:r>
        <w:rPr>
          <w:rFonts w:ascii="Microsoft YaHei" w:hAnsi="Microsoft YaHei"/>
        </w:rPr>
        <w:t>伊朗提议由其与阿曼共同负责霍尔木兹海峡两侧的航运通行管理，同时伊朗军方声称将对使用伊朗资产进行赔偿的国家或公司船只实施通行限制。此消息提升了</w:t>
      </w:r>
      <w:r>
        <w:rPr>
          <w:rFonts w:ascii="Microsoft YaHei" w:hAnsi="Microsoft YaHei"/>
          <w:b/>
          <w:color w:val="1A1A1A"/>
        </w:rPr>
        <w:t>全球航运通道的不确定性</w:t>
      </w:r>
      <w:r>
        <w:rPr>
          <w:rFonts w:ascii="Microsoft YaHei" w:hAnsi="Microsoft YaHei"/>
        </w:rPr>
        <w:t>。在此背景下，国内港口板块可能受到主题资金关注，辽港股份作为东北核心港口标的，存在</w:t>
      </w:r>
      <w:r>
        <w:rPr>
          <w:rFonts w:ascii="Microsoft YaHei" w:hAnsi="Microsoft YaHei"/>
          <w:b/>
          <w:color w:val="1A1A1A"/>
        </w:rPr>
        <w:t>替代性港口受益逻辑</w:t>
      </w:r>
      <w:r>
        <w:rPr>
          <w:rFonts w:ascii="Microsoft YaHei" w:hAnsi="Microsoft YaHei"/>
        </w:rPr>
        <w:t>。</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板块关联</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shd w:fill="F6F8FA" w:val="clear"/>
          </w:tcPr>
          <w:p>
            <w:pPr>
              <w:spacing w:before="40" w:after="40" w:line="288" w:lineRule="auto"/>
            </w:pPr>
            <w:r/>
            <w:r>
              <w:rPr>
                <w:rFonts w:ascii="Microsoft YaHei" w:hAnsi="Microsoft YaHei"/>
                <w:b/>
                <w:color w:val="1A1A1A"/>
                <w:sz w:val="18"/>
              </w:rPr>
              <w:t>板块名称</w:t>
            </w:r>
          </w:p>
        </w:tc>
        <w:tc>
          <w:tcPr>
            <w:tcW w:type="dxa" w:w="2266"/>
            <w:shd w:fill="F6F8FA" w:val="clear"/>
          </w:tcPr>
          <w:p>
            <w:pPr>
              <w:spacing w:before="40" w:after="40" w:line="288" w:lineRule="auto"/>
            </w:pPr>
            <w:r/>
            <w:r>
              <w:rPr>
                <w:rFonts w:ascii="Microsoft YaHei" w:hAnsi="Microsoft YaHei"/>
                <w:b/>
                <w:color w:val="1A1A1A"/>
                <w:sz w:val="18"/>
              </w:rPr>
              <w:t>涨跌幅</w:t>
            </w:r>
          </w:p>
        </w:tc>
        <w:tc>
          <w:tcPr>
            <w:tcW w:type="dxa" w:w="2266"/>
            <w:shd w:fill="F6F8FA" w:val="clear"/>
          </w:tcPr>
          <w:p>
            <w:pPr>
              <w:spacing w:before="40" w:after="40" w:line="288" w:lineRule="auto"/>
            </w:pPr>
            <w:r/>
            <w:r>
              <w:rPr>
                <w:rFonts w:ascii="Microsoft YaHei" w:hAnsi="Microsoft YaHei"/>
                <w:b/>
                <w:color w:val="1A1A1A"/>
                <w:sz w:val="18"/>
              </w:rPr>
              <w:t>板块内排名</w:t>
            </w:r>
          </w:p>
        </w:tc>
        <w:tc>
          <w:tcPr>
            <w:tcW w:type="dxa" w:w="2266"/>
            <w:shd w:fill="F6F8FA" w:val="clear"/>
          </w:tcPr>
          <w:p>
            <w:pPr>
              <w:spacing w:before="40" w:after="40" w:line="288" w:lineRule="auto"/>
            </w:pPr>
            <w:r/>
            <w:r>
              <w:rPr>
                <w:rFonts w:ascii="Microsoft YaHei" w:hAnsi="Microsoft YaHei"/>
                <w:b/>
                <w:color w:val="1A1A1A"/>
                <w:sz w:val="18"/>
              </w:rPr>
              <w:t>表现评价</w:t>
            </w:r>
          </w:p>
        </w:tc>
      </w:tr>
      <w:tr>
        <w:tc>
          <w:tcPr>
            <w:tcW w:type="dxa" w:w="2266"/>
          </w:tcPr>
          <w:p>
            <w:pPr>
              <w:spacing w:before="40" w:after="40" w:line="288" w:lineRule="auto"/>
            </w:pPr>
            <w:r/>
            <w:r>
              <w:rPr>
                <w:rFonts w:ascii="Microsoft YaHei" w:hAnsi="Microsoft YaHei"/>
                <w:sz w:val="18"/>
              </w:rPr>
              <w:t>海港与服务(A股)</w:t>
            </w:r>
          </w:p>
        </w:tc>
        <w:tc>
          <w:tcPr>
            <w:tcW w:type="dxa" w:w="2266"/>
          </w:tcPr>
          <w:p>
            <w:pPr>
              <w:spacing w:before="40" w:after="40" w:line="288" w:lineRule="auto"/>
            </w:pPr>
            <w:r/>
            <w:r>
              <w:rPr>
                <w:rFonts w:ascii="Microsoft YaHei" w:hAnsi="Microsoft YaHei"/>
                <w:b/>
                <w:color w:val="1A1A1A"/>
                <w:sz w:val="18"/>
              </w:rPr>
              <w:t>+0.60%</w:t>
            </w:r>
          </w:p>
        </w:tc>
        <w:tc>
          <w:tcPr>
            <w:tcW w:type="dxa" w:w="2266"/>
          </w:tcPr>
          <w:p>
            <w:pPr>
              <w:spacing w:before="40" w:after="40" w:line="288" w:lineRule="auto"/>
            </w:pPr>
            <w:r/>
            <w:r>
              <w:rPr>
                <w:rFonts w:ascii="Microsoft YaHei" w:hAnsi="Microsoft YaHei"/>
                <w:b/>
                <w:color w:val="1A1A1A"/>
                <w:sz w:val="18"/>
              </w:rPr>
              <w:t>2/19</w:t>
            </w:r>
          </w:p>
        </w:tc>
        <w:tc>
          <w:tcPr>
            <w:tcW w:type="dxa" w:w="2266"/>
          </w:tcPr>
          <w:p>
            <w:pPr>
              <w:spacing w:before="40" w:after="40" w:line="288" w:lineRule="auto"/>
            </w:pPr>
            <w:r/>
            <w:r>
              <w:rPr>
                <w:rFonts w:ascii="Microsoft YaHei" w:hAnsi="Microsoft YaHei"/>
                <w:sz w:val="18"/>
              </w:rPr>
              <w:t>领涨梯队</w:t>
            </w:r>
          </w:p>
        </w:tc>
      </w:tr>
      <w:tr>
        <w:tc>
          <w:tcPr>
            <w:tcW w:type="dxa" w:w="2266"/>
            <w:shd w:fill="F8F9FA" w:val="clear"/>
          </w:tcPr>
          <w:p>
            <w:pPr>
              <w:spacing w:before="40" w:after="40" w:line="288" w:lineRule="auto"/>
            </w:pPr>
            <w:r/>
            <w:r>
              <w:rPr>
                <w:rFonts w:ascii="Microsoft YaHei" w:hAnsi="Microsoft YaHei"/>
                <w:sz w:val="18"/>
              </w:rPr>
              <w:t>交通基本设施(A股)</w:t>
            </w:r>
          </w:p>
        </w:tc>
        <w:tc>
          <w:tcPr>
            <w:tcW w:type="dxa" w:w="2266"/>
            <w:shd w:fill="F8F9FA" w:val="clear"/>
          </w:tcPr>
          <w:p>
            <w:pPr>
              <w:spacing w:before="40" w:after="40" w:line="288" w:lineRule="auto"/>
            </w:pPr>
            <w:r/>
            <w:r>
              <w:rPr>
                <w:rFonts w:ascii="Microsoft YaHei" w:hAnsi="Microsoft YaHei"/>
                <w:b/>
                <w:color w:val="1A1A1A"/>
                <w:sz w:val="18"/>
              </w:rPr>
              <w:t>+0.87%</w:t>
            </w:r>
          </w:p>
        </w:tc>
        <w:tc>
          <w:tcPr>
            <w:tcW w:type="dxa" w:w="2266"/>
            <w:shd w:fill="F8F9FA" w:val="clear"/>
          </w:tcPr>
          <w:p>
            <w:pPr>
              <w:spacing w:before="40" w:after="40" w:line="288" w:lineRule="auto"/>
            </w:pPr>
            <w:r/>
            <w:r>
              <w:rPr>
                <w:rFonts w:ascii="Microsoft YaHei" w:hAnsi="Microsoft YaHei"/>
                <w:sz w:val="18"/>
              </w:rPr>
              <w:t>8/47</w:t>
            </w:r>
          </w:p>
        </w:tc>
        <w:tc>
          <w:tcPr>
            <w:tcW w:type="dxa" w:w="2266"/>
            <w:shd w:fill="F8F9FA" w:val="clear"/>
          </w:tcPr>
          <w:p>
            <w:pPr>
              <w:spacing w:before="40" w:after="40" w:line="288" w:lineRule="auto"/>
            </w:pPr>
            <w:r/>
            <w:r>
              <w:rPr>
                <w:rFonts w:ascii="Microsoft YaHei" w:hAnsi="Microsoft YaHei"/>
                <w:sz w:val="18"/>
              </w:rPr>
              <w:t>强势板块</w:t>
            </w:r>
          </w:p>
        </w:tc>
      </w:tr>
      <w:tr>
        <w:tc>
          <w:tcPr>
            <w:tcW w:type="dxa" w:w="2266"/>
          </w:tcPr>
          <w:p>
            <w:pPr>
              <w:spacing w:before="40" w:after="40" w:line="288" w:lineRule="auto"/>
            </w:pPr>
            <w:r/>
            <w:r>
              <w:rPr>
                <w:rFonts w:ascii="Microsoft YaHei" w:hAnsi="Microsoft YaHei"/>
                <w:sz w:val="18"/>
              </w:rPr>
              <w:t>运输(A股)</w:t>
            </w:r>
          </w:p>
        </w:tc>
        <w:tc>
          <w:tcPr>
            <w:tcW w:type="dxa" w:w="2266"/>
          </w:tcPr>
          <w:p>
            <w:pPr>
              <w:spacing w:before="40" w:after="40" w:line="288" w:lineRule="auto"/>
            </w:pPr>
            <w:r/>
            <w:r>
              <w:rPr>
                <w:rFonts w:ascii="Microsoft YaHei" w:hAnsi="Microsoft YaHei"/>
                <w:sz w:val="18"/>
              </w:rPr>
              <w:t>+0.02%</w:t>
            </w:r>
          </w:p>
        </w:tc>
        <w:tc>
          <w:tcPr>
            <w:tcW w:type="dxa" w:w="2266"/>
          </w:tcPr>
          <w:p>
            <w:pPr>
              <w:spacing w:before="40" w:after="40" w:line="288" w:lineRule="auto"/>
            </w:pPr>
            <w:r/>
            <w:r>
              <w:rPr>
                <w:rFonts w:ascii="Microsoft YaHei" w:hAnsi="Microsoft YaHei"/>
                <w:sz w:val="18"/>
              </w:rPr>
              <w:t>15/121</w:t>
            </w:r>
          </w:p>
        </w:tc>
        <w:tc>
          <w:tcPr>
            <w:tcW w:type="dxa" w:w="2266"/>
          </w:tcPr>
          <w:p>
            <w:pPr>
              <w:spacing w:before="40" w:after="40" w:line="288" w:lineRule="auto"/>
            </w:pPr>
            <w:r/>
            <w:r>
              <w:rPr>
                <w:rFonts w:ascii="Microsoft YaHei" w:hAnsi="Microsoft YaHei"/>
                <w:sz w:val="18"/>
              </w:rPr>
              <w:t>中性</w:t>
            </w:r>
          </w:p>
        </w:tc>
      </w:tr>
      <w:tr>
        <w:tc>
          <w:tcPr>
            <w:tcW w:type="dxa" w:w="2266"/>
            <w:shd w:fill="F8F9FA" w:val="clear"/>
          </w:tcPr>
          <w:p>
            <w:pPr>
              <w:spacing w:before="40" w:after="40" w:line="288" w:lineRule="auto"/>
            </w:pPr>
            <w:r/>
            <w:r>
              <w:rPr>
                <w:rFonts w:ascii="Microsoft YaHei" w:hAnsi="Microsoft YaHei"/>
                <w:sz w:val="18"/>
              </w:rPr>
              <w:t>工业(A股)</w:t>
            </w:r>
          </w:p>
        </w:tc>
        <w:tc>
          <w:tcPr>
            <w:tcW w:type="dxa" w:w="2266"/>
            <w:shd w:fill="F8F9FA" w:val="clear"/>
          </w:tcPr>
          <w:p>
            <w:pPr>
              <w:spacing w:before="40" w:after="40" w:line="288" w:lineRule="auto"/>
            </w:pPr>
            <w:r/>
            <w:r>
              <w:rPr>
                <w:rFonts w:ascii="Microsoft YaHei" w:hAnsi="Microsoft YaHei"/>
                <w:b/>
                <w:color w:val="1A1A1A"/>
                <w:sz w:val="18"/>
              </w:rPr>
              <w:t>-2.77%</w:t>
            </w:r>
          </w:p>
        </w:tc>
        <w:tc>
          <w:tcPr>
            <w:tcW w:type="dxa" w:w="2266"/>
            <w:shd w:fill="F8F9FA" w:val="clear"/>
          </w:tcPr>
          <w:p>
            <w:pPr>
              <w:spacing w:before="40" w:after="40" w:line="288" w:lineRule="auto"/>
            </w:pPr>
            <w:r/>
            <w:r>
              <w:rPr>
                <w:rFonts w:ascii="Microsoft YaHei" w:hAnsi="Microsoft YaHei"/>
                <w:sz w:val="18"/>
              </w:rPr>
              <w:t>101/1209</w:t>
            </w:r>
          </w:p>
        </w:tc>
        <w:tc>
          <w:tcPr>
            <w:tcW w:type="dxa" w:w="2266"/>
            <w:shd w:fill="F8F9FA" w:val="clear"/>
          </w:tcPr>
          <w:p>
            <w:pPr>
              <w:spacing w:before="40" w:after="40" w:line="288" w:lineRule="auto"/>
            </w:pPr>
            <w:r/>
            <w:r>
              <w:rPr>
                <w:rFonts w:ascii="Microsoft YaHei" w:hAnsi="Microsoft YaHei"/>
                <w:sz w:val="18"/>
              </w:rPr>
              <w:t>偏弱</w:t>
            </w:r>
          </w:p>
        </w:tc>
      </w:tr>
    </w:tbl>
    <w:p/>
    <w:p>
      <w:r>
        <w:rPr>
          <w:rFonts w:ascii="Microsoft YaHei" w:hAnsi="Microsoft YaHei"/>
        </w:rPr>
        <w:t>辽港股份在海港与服务板块中排名</w:t>
      </w:r>
      <w:r>
        <w:rPr>
          <w:rFonts w:ascii="Microsoft YaHei" w:hAnsi="Microsoft YaHei"/>
          <w:b/>
          <w:color w:val="1A1A1A"/>
        </w:rPr>
        <w:t>第2/19</w:t>
      </w:r>
      <w:r>
        <w:rPr>
          <w:rFonts w:ascii="Microsoft YaHei" w:hAnsi="Microsoft YaHei"/>
        </w:rPr>
        <w:t>，涨幅仅次于招商港口（+3.18%），属于</w:t>
      </w:r>
      <w:r>
        <w:rPr>
          <w:rFonts w:ascii="Microsoft YaHei" w:hAnsi="Microsoft YaHei"/>
          <w:b/>
          <w:color w:val="1A1A1A"/>
        </w:rPr>
        <w:t>板块龙头股</w:t>
      </w:r>
      <w:r>
        <w:rPr>
          <w:rFonts w:ascii="Microsoft YaHei" w:hAnsi="Microsoft YaHei"/>
        </w:rPr>
        <w:t>范畴，具备板块辨识度。</w:t>
      </w:r>
    </w:p>
    <w:p>
      <w:pPr>
        <w:spacing w:before="240" w:after="240"/>
        <w:pBdr>
          <w:bottom w:val="single" w:sz="4" w:space="1" w:color="D0D7DE"/>
        </w:pBdr>
      </w:pPr>
    </w:p>
    <w:p>
      <w:pPr>
        <w:spacing w:before="360" w:after="80" w:line="288" w:lineRule="auto"/>
        <w:pBdr>
          <w:bottom w:val="single" w:sz="4" w:space="4" w:color="D0D7DE"/>
        </w:pBdr>
      </w:pPr>
      <w:r>
        <w:rPr>
          <w:rFonts w:ascii="Microsoft YaHei" w:hAnsi="Microsoft YaHei"/>
          <w:b/>
          <w:color w:val="1A1A1A"/>
          <w:sz w:val="28"/>
        </w:rPr>
        <w:t>综合研判</w:t>
      </w:r>
    </w:p>
    <w:p>
      <w:r>
        <w:rPr>
          <w:rFonts w:ascii="Microsoft YaHei" w:hAnsi="Microsoft YaHei"/>
          <w:b/>
          <w:color w:val="1A1A1A"/>
        </w:rPr>
        <w:t>主力观点：偏强，短线存在进一步上攻动能。</w:t>
      </w:r>
    </w:p>
    <w:p>
      <w:r>
        <w:rPr>
          <w:rFonts w:ascii="Microsoft YaHei" w:hAnsi="Microsoft YaHei"/>
        </w:rPr>
        <w:t>辽港股份今日半日表现呈现以下特征：</w:t>
      </w:r>
    </w:p>
    <w:p>
      <w:pPr>
        <w:pStyle w:val="ListNumber"/>
      </w:pPr>
      <w:r>
        <w:rPr>
          <w:rFonts w:ascii="Microsoft YaHei" w:hAnsi="Microsoft YaHei"/>
          <w:b/>
          <w:color w:val="1A1A1A"/>
        </w:rPr>
        <w:t>量价配合良好</w:t>
      </w:r>
      <w:r>
        <w:rPr>
          <w:rFonts w:ascii="Microsoft YaHei" w:hAnsi="Microsoft YaHei"/>
        </w:rPr>
        <w:t xml:space="preserve"> — 涨幅</w:t>
      </w:r>
      <w:r>
        <w:rPr>
          <w:rFonts w:ascii="Microsoft YaHei" w:hAnsi="Microsoft YaHei"/>
          <w:b/>
          <w:color w:val="1A1A1A"/>
        </w:rPr>
        <w:t>+2.80%</w:t>
      </w:r>
      <w:r>
        <w:rPr>
          <w:rFonts w:ascii="Microsoft YaHei" w:hAnsi="Microsoft YaHei"/>
        </w:rPr>
        <w:t>同时换手率放大至昨日的</w:t>
      </w:r>
      <w:r>
        <w:rPr>
          <w:rFonts w:ascii="Microsoft YaHei" w:hAnsi="Microsoft YaHei"/>
          <w:b/>
          <w:color w:val="1A1A1A"/>
        </w:rPr>
        <w:t>1.83倍</w:t>
      </w:r>
      <w:r>
        <w:rPr>
          <w:rFonts w:ascii="Microsoft YaHei" w:hAnsi="Microsoft YaHei"/>
        </w:rPr>
        <w:t>，量比1.36，属于典型的放量突破形态；</w:t>
      </w:r>
    </w:p>
    <w:p>
      <w:pPr>
        <w:pStyle w:val="ListNumber"/>
      </w:pPr>
      <w:r>
        <w:rPr>
          <w:rFonts w:ascii="Microsoft YaHei" w:hAnsi="Microsoft YaHei"/>
          <w:b/>
          <w:color w:val="1A1A1A"/>
        </w:rPr>
        <w:t>资金持续流入</w:t>
      </w:r>
      <w:r>
        <w:rPr>
          <w:rFonts w:ascii="Microsoft YaHei" w:hAnsi="Microsoft YaHei"/>
        </w:rPr>
        <w:t xml:space="preserve"> — 连续两日大额资金净流入，今日盘中净流入</w:t>
      </w:r>
      <w:r>
        <w:rPr>
          <w:rFonts w:ascii="Microsoft YaHei" w:hAnsi="Microsoft YaHei"/>
          <w:b/>
          <w:color w:val="1A1A1A"/>
        </w:rPr>
        <w:t>4409.96万元</w:t>
      </w:r>
      <w:r>
        <w:rPr>
          <w:rFonts w:ascii="Microsoft YaHei" w:hAnsi="Microsoft YaHei"/>
        </w:rPr>
        <w:t>，且资金流入时长（66分钟）显著多于流出（47分钟），多头主导格局清晰；</w:t>
      </w:r>
    </w:p>
    <w:p>
      <w:pPr>
        <w:pStyle w:val="ListNumber"/>
      </w:pPr>
      <w:r>
        <w:rPr>
          <w:rFonts w:ascii="Microsoft YaHei" w:hAnsi="Microsoft YaHei"/>
          <w:b/>
          <w:color w:val="1A1A1A"/>
        </w:rPr>
        <w:t>技术形态健康</w:t>
      </w:r>
      <w:r>
        <w:rPr>
          <w:rFonts w:ascii="Microsoft YaHei" w:hAnsi="Microsoft YaHei"/>
        </w:rPr>
        <w:t xml:space="preserve"> — 价格站稳三条短期均线（MA5/10/20呈多头排列），处于布林带中轨与上轨之间的强势区域，尚未触及上轨1.49元，仍存上行空间；</w:t>
      </w:r>
    </w:p>
    <w:p>
      <w:pPr>
        <w:pStyle w:val="ListNumber"/>
      </w:pPr>
      <w:r>
        <w:rPr>
          <w:rFonts w:ascii="Microsoft YaHei" w:hAnsi="Microsoft YaHei"/>
          <w:b/>
          <w:color w:val="1A1A1A"/>
        </w:rPr>
        <w:t>板块联动助推</w:t>
      </w:r>
      <w:r>
        <w:rPr>
          <w:rFonts w:ascii="Microsoft YaHei" w:hAnsi="Microsoft YaHei"/>
        </w:rPr>
        <w:t xml:space="preserve"> — 所属交通基建、海港服务板块今日集体走强，辽港股份作为</w:t>
      </w:r>
      <w:r>
        <w:rPr>
          <w:rFonts w:ascii="Microsoft YaHei" w:hAnsi="Microsoft YaHei"/>
          <w:b/>
          <w:color w:val="1A1A1A"/>
        </w:rPr>
        <w:t>海港与服务板块涨幅第2名</w:t>
      </w:r>
      <w:r>
        <w:rPr>
          <w:rFonts w:ascii="Microsoft YaHei" w:hAnsi="Microsoft YaHei"/>
        </w:rPr>
        <w:t>，具备龙头辨识度；</w:t>
      </w:r>
    </w:p>
    <w:p>
      <w:pPr>
        <w:pStyle w:val="ListNumber"/>
      </w:pPr>
      <w:r>
        <w:rPr>
          <w:rFonts w:ascii="Microsoft YaHei" w:hAnsi="Microsoft YaHei"/>
          <w:b/>
          <w:color w:val="1A1A1A"/>
        </w:rPr>
        <w:t>消息面催化</w:t>
      </w:r>
      <w:r>
        <w:rPr>
          <w:rFonts w:ascii="Microsoft YaHei" w:hAnsi="Microsoft YaHei"/>
        </w:rPr>
        <w:t xml:space="preserve"> — 东北口岸政策利好叠加全球航运通道不确定性升温，为港口板块提供主题催化。</w:t>
      </w:r>
    </w:p>
    <w:p>
      <w:r>
        <w:rPr>
          <w:rFonts w:ascii="Microsoft YaHei" w:hAnsi="Microsoft YaHei"/>
          <w:b/>
          <w:color w:val="1A1A1A"/>
        </w:rPr>
        <w:t>风险提示</w:t>
      </w:r>
      <w:r>
        <w:rPr>
          <w:rFonts w:ascii="Microsoft YaHei" w:hAnsi="Microsoft YaHei"/>
        </w:rPr>
        <w:t>：当前价1.47元已接近布林带上轨1.49元，短线存在技术压力；融资余额处于低位说明市场对该股杠杆参与度不高，若后续缺乏进一步催化，持续上攻的动能需关注量能能否维持。投资者需注意市场波动风险，合理控制仓位。</w:t>
      </w:r>
    </w:p>
    <w:sectPr w:rsidR="00FC693F" w:rsidRPr="0006063C" w:rsidSect="00034616">
      <w:headerReference w:type="default" r:id="rId9"/>
      <w:footerReference w:type="default" r:id="rId10"/>
      <w:pgSz w:w="12240" w:h="15840"/>
      <w:pgMar w:top="1134" w:right="158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5"/>
      </w:rPr>
      <w:t xml:space="preserve">— </w:t>
      <w:fldChar w:fldCharType="begin"/>
      <w:instrText xml:space="preserve"> PAGE </w:instrText>
      <w:fldChar w:fldCharType="end"/>
    </w:r>
    <w:r>
      <w:rPr>
        <w:color w:val="999999"/>
        <w:sz w:val="15"/>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999999"/>
        <w:sz w:val="15"/>
      </w:rPr>
      <w:t>辽港股份  |  数据截止 11:30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Microsoft YaHei" w:hAnsi="Microsoft YaHei" w:eastAsia="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Microsoft YaHei" w:hAnsi="Microsoft YaHei" w:eastAsia="Microsoft YaHe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Microsoft YaHei" w:hAnsi="Microsoft YaHei" w:eastAsia="Microsoft YaHe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