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rPr>
        <w:t>所有文章的正文获取均超时，以下分析将基于标题和摘要内容综合判断。</w:t>
      </w:r>
    </w:p>
    <w:p>
      <w:pPr>
        <w:spacing w:before="240" w:after="240"/>
        <w:pBdr>
          <w:bottom w:val="single" w:sz="4" w:space="1" w:color="D0D7DE"/>
        </w:pBdr>
      </w:pPr>
    </w:p>
    <w:p>
      <w:pPr>
        <w:spacing w:before="480" w:after="80" w:line="288" w:lineRule="auto"/>
        <w:pBdr>
          <w:bottom w:val="single" w:sz="4" w:space="4" w:color="D0D7DE"/>
        </w:pBdr>
      </w:pPr>
      <w:r>
        <w:rPr>
          <w:rFonts w:ascii="Microsoft YaHei" w:hAnsi="Microsoft YaHei"/>
          <w:b/>
          <w:color w:val="1A1A1A"/>
          <w:sz w:val="36"/>
        </w:rPr>
        <w:t>隆基绿能（601012.SH）午间分析报告</w:t>
      </w:r>
    </w:p>
    <w:p>
      <w:r>
        <w:rPr>
          <w:rFonts w:ascii="Microsoft YaHei" w:hAnsi="Microsoft YaHei"/>
          <w:b/>
          <w:color w:val="1A1A1A"/>
        </w:rPr>
        <w:t>数据截止</w:t>
      </w:r>
      <w:r>
        <w:rPr>
          <w:rFonts w:ascii="Microsoft YaHei" w:hAnsi="Microsoft YaHei"/>
        </w:rPr>
        <w:t xml:space="preserve">：2026年7月28日 11:30 | </w:t>
      </w:r>
      <w:r>
        <w:rPr>
          <w:rFonts w:ascii="Microsoft YaHei" w:hAnsi="Microsoft YaHei"/>
          <w:b/>
          <w:color w:val="1A1A1A"/>
        </w:rPr>
        <w:t>当前价</w:t>
      </w:r>
      <w:r>
        <w:rPr>
          <w:rFonts w:ascii="Microsoft YaHei" w:hAnsi="Microsoft YaHei"/>
        </w:rPr>
        <w:t xml:space="preserve">：12.00元 | </w:t>
      </w:r>
      <w:r>
        <w:rPr>
          <w:rFonts w:ascii="Microsoft YaHei" w:hAnsi="Microsoft YaHei"/>
          <w:b/>
          <w:color w:val="1A1A1A"/>
        </w:rPr>
        <w:t>涨跌幅</w:t>
      </w:r>
      <w:r>
        <w:rPr>
          <w:rFonts w:ascii="Microsoft YaHei" w:hAnsi="Microsoft YaHei"/>
        </w:rPr>
        <w:t>：</w:t>
      </w:r>
      <w:r>
        <w:rPr>
          <w:rFonts w:ascii="Microsoft YaHei" w:hAnsi="Microsoft YaHei"/>
          <w:b/>
          <w:color w:val="1A1A1A"/>
        </w:rPr>
        <w:t>+2.13%</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今日市场整体呈现</w:t>
      </w:r>
      <w:r>
        <w:rPr>
          <w:rFonts w:ascii="Microsoft YaHei" w:hAnsi="Microsoft YaHei"/>
          <w:b/>
          <w:color w:val="1A1A1A"/>
        </w:rPr>
        <w:t>极端分化</w:t>
      </w:r>
      <w:r>
        <w:rPr>
          <w:rFonts w:ascii="Microsoft YaHei" w:hAnsi="Microsoft YaHei"/>
        </w:rPr>
        <w:t>格局。全市场上涨个股2603只，下跌2769只，市场热度仅43（一般），但盘中出现剧烈波动——创业板指一度跌逾6%，深成指跌近4%，算力硬件、半导体芯片等方向重挫。受隔夜费城半导体指数再跌超2%、韩国KOSPI盘中跌幅扩大至10%等因素拖累，科技成长板块全面承压。</w:t>
      </w:r>
    </w:p>
    <w:p>
      <w:r>
        <w:rPr>
          <w:rFonts w:ascii="Microsoft YaHei" w:hAnsi="Microsoft YaHei"/>
        </w:rPr>
        <w:t>在此背景下，隆基绿能逆势走强，午盘收涨</w:t>
      </w:r>
      <w:r>
        <w:rPr>
          <w:rFonts w:ascii="Microsoft YaHei" w:hAnsi="Microsoft YaHei"/>
          <w:b/>
          <w:color w:val="1A1A1A"/>
        </w:rPr>
        <w:t>+2.13%</w:t>
      </w:r>
      <w:r>
        <w:rPr>
          <w:rFonts w:ascii="Microsoft YaHei" w:hAnsi="Microsoft YaHei"/>
        </w:rPr>
        <w:t>，展现出显著的</w:t>
      </w:r>
      <w:r>
        <w:rPr>
          <w:rFonts w:ascii="Microsoft YaHei" w:hAnsi="Microsoft YaHei"/>
          <w:b/>
          <w:color w:val="1A1A1A"/>
        </w:rPr>
        <w:t>防御属性和独立行情特征</w:t>
      </w:r>
      <w:r>
        <w:rPr>
          <w:rFonts w:ascii="Microsoft YaHei" w:hAnsi="Microsoft YaHei"/>
        </w:rPr>
        <w:t>。</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当前价</w:t>
            </w:r>
          </w:p>
        </w:tc>
        <w:tc>
          <w:tcPr>
            <w:tcW w:type="dxa" w:w="4533"/>
          </w:tcPr>
          <w:p>
            <w:pPr>
              <w:spacing w:before="40" w:after="40" w:line="288" w:lineRule="auto"/>
            </w:pPr>
            <w:r/>
            <w:r>
              <w:rPr>
                <w:rFonts w:ascii="Microsoft YaHei" w:hAnsi="Microsoft YaHei"/>
                <w:b/>
                <w:color w:val="1A1A1A"/>
                <w:sz w:val="18"/>
              </w:rPr>
              <w:t>12.00</w:t>
            </w:r>
            <w:r>
              <w:rPr>
                <w:rFonts w:ascii="Microsoft YaHei" w:hAnsi="Microsoft YaHei"/>
                <w:sz w:val="18"/>
              </w:rPr>
              <w:t xml:space="preserve"> 元</w:t>
            </w:r>
          </w:p>
        </w:tc>
      </w:tr>
      <w:tr>
        <w:tc>
          <w:tcPr>
            <w:tcW w:type="dxa" w:w="4533"/>
            <w:shd w:fill="F8F9FA" w:val="clear"/>
          </w:tcPr>
          <w:p>
            <w:pPr>
              <w:spacing w:before="40" w:after="40" w:line="288" w:lineRule="auto"/>
            </w:pPr>
            <w:r/>
            <w:r>
              <w:rPr>
                <w:rFonts w:ascii="Microsoft YaHei" w:hAnsi="Microsoft YaHei"/>
                <w:sz w:val="18"/>
              </w:rPr>
              <w:t>昨收 / 开盘</w:t>
            </w:r>
          </w:p>
        </w:tc>
        <w:tc>
          <w:tcPr>
            <w:tcW w:type="dxa" w:w="4533"/>
            <w:shd w:fill="F8F9FA" w:val="clear"/>
          </w:tcPr>
          <w:p>
            <w:pPr>
              <w:spacing w:before="40" w:after="40" w:line="288" w:lineRule="auto"/>
            </w:pPr>
            <w:r/>
            <w:r>
              <w:rPr>
                <w:rFonts w:ascii="Microsoft YaHei" w:hAnsi="Microsoft YaHei"/>
                <w:sz w:val="18"/>
              </w:rPr>
              <w:t>11.75 / 11.75 元</w:t>
            </w:r>
          </w:p>
        </w:tc>
      </w:tr>
      <w:tr>
        <w:tc>
          <w:tcPr>
            <w:tcW w:type="dxa" w:w="4533"/>
          </w:tcPr>
          <w:p>
            <w:pPr>
              <w:spacing w:before="40" w:after="40" w:line="288" w:lineRule="auto"/>
            </w:pPr>
            <w:r/>
            <w:r>
              <w:rPr>
                <w:rFonts w:ascii="Microsoft YaHei" w:hAnsi="Microsoft YaHei"/>
                <w:sz w:val="18"/>
              </w:rPr>
              <w:t>最高 / 最低</w:t>
            </w:r>
          </w:p>
        </w:tc>
        <w:tc>
          <w:tcPr>
            <w:tcW w:type="dxa" w:w="4533"/>
          </w:tcPr>
          <w:p>
            <w:pPr>
              <w:spacing w:before="40" w:after="40" w:line="288" w:lineRule="auto"/>
            </w:pPr>
            <w:r/>
            <w:r>
              <w:rPr>
                <w:rFonts w:ascii="Microsoft YaHei" w:hAnsi="Microsoft YaHei"/>
                <w:sz w:val="18"/>
              </w:rPr>
              <w:t>12.03 / 11.70 元</w:t>
            </w:r>
          </w:p>
        </w:tc>
      </w:tr>
      <w:tr>
        <w:tc>
          <w:tcPr>
            <w:tcW w:type="dxa" w:w="4533"/>
            <w:shd w:fill="F8F9FA" w:val="clear"/>
          </w:tcPr>
          <w:p>
            <w:pPr>
              <w:spacing w:before="40" w:after="40" w:line="288" w:lineRule="auto"/>
            </w:pPr>
            <w:r/>
            <w:r>
              <w:rPr>
                <w:rFonts w:ascii="Microsoft YaHei" w:hAnsi="Microsoft YaHei"/>
                <w:sz w:val="18"/>
              </w:rPr>
              <w:t>涨跌幅</w:t>
            </w:r>
          </w:p>
        </w:tc>
        <w:tc>
          <w:tcPr>
            <w:tcW w:type="dxa" w:w="4533"/>
            <w:shd w:fill="F8F9FA" w:val="clear"/>
          </w:tcPr>
          <w:p>
            <w:pPr>
              <w:spacing w:before="40" w:after="40" w:line="288" w:lineRule="auto"/>
            </w:pPr>
            <w:r/>
            <w:r>
              <w:rPr>
                <w:rFonts w:ascii="Microsoft YaHei" w:hAnsi="Microsoft YaHei"/>
                <w:b/>
                <w:color w:val="1A1A1A"/>
                <w:sz w:val="18"/>
              </w:rPr>
              <w:t>+2.13%</w:t>
            </w:r>
          </w:p>
        </w:tc>
      </w:tr>
      <w:tr>
        <w:tc>
          <w:tcPr>
            <w:tcW w:type="dxa" w:w="4533"/>
          </w:tcPr>
          <w:p>
            <w:pPr>
              <w:spacing w:before="40" w:after="40" w:line="288" w:lineRule="auto"/>
            </w:pPr>
            <w:r/>
            <w:r>
              <w:rPr>
                <w:rFonts w:ascii="Microsoft YaHei" w:hAnsi="Microsoft YaHei"/>
                <w:sz w:val="18"/>
              </w:rPr>
              <w:t>成交额</w:t>
            </w:r>
          </w:p>
        </w:tc>
        <w:tc>
          <w:tcPr>
            <w:tcW w:type="dxa" w:w="4533"/>
          </w:tcPr>
          <w:p>
            <w:pPr>
              <w:spacing w:before="40" w:after="40" w:line="288" w:lineRule="auto"/>
            </w:pPr>
            <w:r/>
            <w:r>
              <w:rPr>
                <w:rFonts w:ascii="Microsoft YaHei" w:hAnsi="Microsoft YaHei"/>
                <w:b/>
                <w:color w:val="1A1A1A"/>
                <w:sz w:val="18"/>
              </w:rPr>
              <w:t>14.62 亿元</w:t>
            </w:r>
          </w:p>
        </w:tc>
      </w:tr>
      <w:tr>
        <w:tc>
          <w:tcPr>
            <w:tcW w:type="dxa" w:w="4533"/>
            <w:shd w:fill="F8F9FA" w:val="clear"/>
          </w:tcPr>
          <w:p>
            <w:pPr>
              <w:spacing w:before="40" w:after="40" w:line="288" w:lineRule="auto"/>
            </w:pPr>
            <w:r/>
            <w:r>
              <w:rPr>
                <w:rFonts w:ascii="Microsoft YaHei" w:hAnsi="Microsoft YaHei"/>
                <w:sz w:val="18"/>
              </w:rPr>
              <w:t>换手率</w:t>
            </w:r>
          </w:p>
        </w:tc>
        <w:tc>
          <w:tcPr>
            <w:tcW w:type="dxa" w:w="4533"/>
            <w:shd w:fill="F8F9FA" w:val="clear"/>
          </w:tcPr>
          <w:p>
            <w:pPr>
              <w:spacing w:before="40" w:after="40" w:line="288" w:lineRule="auto"/>
            </w:pPr>
            <w:r/>
            <w:r>
              <w:rPr>
                <w:rFonts w:ascii="Microsoft YaHei" w:hAnsi="Microsoft YaHei"/>
                <w:b/>
                <w:color w:val="1A1A1A"/>
                <w:sz w:val="18"/>
              </w:rPr>
              <w:t>1.63%</w:t>
            </w:r>
            <w:r>
              <w:rPr>
                <w:rFonts w:ascii="Microsoft YaHei" w:hAnsi="Microsoft YaHei"/>
                <w:sz w:val="18"/>
              </w:rPr>
              <w:t xml:space="preserve">（较昨日1.13%放大 </w:t>
            </w:r>
            <w:r>
              <w:rPr>
                <w:rFonts w:ascii="Microsoft YaHei" w:hAnsi="Microsoft YaHei"/>
                <w:b/>
                <w:color w:val="1A1A1A"/>
                <w:sz w:val="18"/>
              </w:rPr>
              <w:t>44%</w:t>
            </w:r>
            <w:r>
              <w:rPr>
                <w:rFonts w:ascii="Microsoft YaHei" w:hAnsi="Microsoft YaHei"/>
                <w:sz w:val="18"/>
              </w:rPr>
              <w:t>）</w:t>
            </w:r>
          </w:p>
        </w:tc>
      </w:tr>
      <w:tr>
        <w:tc>
          <w:tcPr>
            <w:tcW w:type="dxa" w:w="4533"/>
          </w:tcPr>
          <w:p>
            <w:pPr>
              <w:spacing w:before="40" w:after="40" w:line="288" w:lineRule="auto"/>
            </w:pPr>
            <w:r/>
            <w:r>
              <w:rPr>
                <w:rFonts w:ascii="Microsoft YaHei" w:hAnsi="Microsoft YaHei"/>
                <w:sz w:val="18"/>
              </w:rPr>
              <w:t>量比</w:t>
            </w:r>
          </w:p>
        </w:tc>
        <w:tc>
          <w:tcPr>
            <w:tcW w:type="dxa" w:w="4533"/>
          </w:tcPr>
          <w:p>
            <w:pPr>
              <w:spacing w:before="40" w:after="40" w:line="288" w:lineRule="auto"/>
            </w:pPr>
            <w:r/>
            <w:r>
              <w:rPr>
                <w:rFonts w:ascii="Microsoft YaHei" w:hAnsi="Microsoft YaHei"/>
                <w:b/>
                <w:color w:val="1A1A1A"/>
                <w:sz w:val="18"/>
              </w:rPr>
              <w:t>1.16</w:t>
            </w:r>
            <w:r>
              <w:rPr>
                <w:rFonts w:ascii="Microsoft YaHei" w:hAnsi="Microsoft YaHei"/>
                <w:sz w:val="18"/>
              </w:rPr>
              <w:t>（温和放量）</w:t>
            </w:r>
          </w:p>
        </w:tc>
      </w:tr>
      <w:tr>
        <w:tc>
          <w:tcPr>
            <w:tcW w:type="dxa" w:w="4533"/>
            <w:shd w:fill="F8F9FA" w:val="clear"/>
          </w:tcPr>
          <w:p>
            <w:pPr>
              <w:spacing w:before="40" w:after="40" w:line="288" w:lineRule="auto"/>
            </w:pPr>
            <w:r/>
            <w:r>
              <w:rPr>
                <w:rFonts w:ascii="Microsoft YaHei" w:hAnsi="Microsoft YaHei"/>
                <w:sz w:val="18"/>
              </w:rPr>
              <w:t>动态市盈率</w:t>
            </w:r>
          </w:p>
        </w:tc>
        <w:tc>
          <w:tcPr>
            <w:tcW w:type="dxa" w:w="4533"/>
            <w:shd w:fill="F8F9FA" w:val="clear"/>
          </w:tcPr>
          <w:p>
            <w:pPr>
              <w:spacing w:before="40" w:after="40" w:line="288" w:lineRule="auto"/>
            </w:pPr>
            <w:r/>
            <w:r>
              <w:rPr>
                <w:rFonts w:ascii="Microsoft YaHei" w:hAnsi="Microsoft YaHei"/>
                <w:sz w:val="18"/>
              </w:rPr>
              <w:t>-11.84（亏损状态）</w:t>
            </w:r>
          </w:p>
        </w:tc>
      </w:tr>
      <w:tr>
        <w:tc>
          <w:tcPr>
            <w:tcW w:type="dxa" w:w="4533"/>
          </w:tcPr>
          <w:p>
            <w:pPr>
              <w:spacing w:before="40" w:after="40" w:line="288" w:lineRule="auto"/>
            </w:pPr>
            <w:r/>
            <w:r>
              <w:rPr>
                <w:rFonts w:ascii="Microsoft YaHei" w:hAnsi="Microsoft YaHei"/>
                <w:sz w:val="18"/>
              </w:rPr>
              <w:t>市净率</w:t>
            </w:r>
          </w:p>
        </w:tc>
        <w:tc>
          <w:tcPr>
            <w:tcW w:type="dxa" w:w="4533"/>
          </w:tcPr>
          <w:p>
            <w:pPr>
              <w:spacing w:before="40" w:after="40" w:line="288" w:lineRule="auto"/>
            </w:pPr>
            <w:r/>
            <w:r>
              <w:rPr>
                <w:rFonts w:ascii="Microsoft YaHei" w:hAnsi="Microsoft YaHei"/>
                <w:sz w:val="18"/>
              </w:rPr>
              <w:t>1.80</w:t>
            </w:r>
          </w:p>
        </w:tc>
      </w:tr>
      <w:tr>
        <w:tc>
          <w:tcPr>
            <w:tcW w:type="dxa" w:w="4533"/>
            <w:shd w:fill="F8F9FA" w:val="clear"/>
          </w:tcPr>
          <w:p>
            <w:pPr>
              <w:spacing w:before="40" w:after="40" w:line="288" w:lineRule="auto"/>
            </w:pPr>
            <w:r/>
            <w:r>
              <w:rPr>
                <w:rFonts w:ascii="Microsoft YaHei" w:hAnsi="Microsoft YaHei"/>
                <w:sz w:val="18"/>
              </w:rPr>
              <w:t>总市值</w:t>
            </w:r>
          </w:p>
        </w:tc>
        <w:tc>
          <w:tcPr>
            <w:tcW w:type="dxa" w:w="4533"/>
            <w:shd w:fill="F8F9FA" w:val="clear"/>
          </w:tcPr>
          <w:p>
            <w:pPr>
              <w:spacing w:before="40" w:after="40" w:line="288" w:lineRule="auto"/>
            </w:pPr>
            <w:r/>
            <w:r>
              <w:rPr>
                <w:rFonts w:ascii="Microsoft YaHei" w:hAnsi="Microsoft YaHei"/>
                <w:b/>
                <w:color w:val="1A1A1A"/>
                <w:sz w:val="18"/>
              </w:rPr>
              <w:t>909.37 亿元</w:t>
            </w:r>
          </w:p>
        </w:tc>
      </w:tr>
    </w:tbl>
    <w:p/>
    <w:p>
      <w:r>
        <w:rPr>
          <w:rFonts w:ascii="Microsoft YaHei" w:hAnsi="Microsoft YaHei"/>
          <w:b/>
          <w:color w:val="1A1A1A"/>
        </w:rPr>
        <w:t>核心观察</w:t>
      </w:r>
      <w:r>
        <w:rPr>
          <w:rFonts w:ascii="Microsoft YaHei" w:hAnsi="Microsoft YaHei"/>
        </w:rPr>
        <w:t>：</w:t>
      </w:r>
    </w:p>
    <w:p>
      <w:pPr>
        <w:pStyle w:val="ListBullet"/>
      </w:pPr>
      <w:r>
        <w:rPr>
          <w:rFonts w:ascii="Microsoft YaHei" w:hAnsi="Microsoft YaHei"/>
        </w:rPr>
        <w:t>今日以</w:t>
      </w:r>
      <w:r>
        <w:rPr>
          <w:rFonts w:ascii="Microsoft YaHei" w:hAnsi="Microsoft YaHei"/>
          <w:b/>
          <w:color w:val="1A1A1A"/>
        </w:rPr>
        <w:t>平开高走</w:t>
      </w:r>
      <w:r>
        <w:rPr>
          <w:rFonts w:ascii="Microsoft YaHei" w:hAnsi="Microsoft YaHei"/>
        </w:rPr>
        <w:t>姿态运行，开盘价11.75即为全日最低区域，盘中最高触及12.03，振幅2.81%，买盘承接力度较强。</w:t>
      </w:r>
    </w:p>
    <w:p>
      <w:pPr>
        <w:pStyle w:val="ListBullet"/>
      </w:pPr>
      <w:r>
        <w:rPr>
          <w:rFonts w:ascii="Microsoft YaHei" w:hAnsi="Microsoft YaHei"/>
        </w:rPr>
        <w:t>换手率1.63%较昨日放大44%，为近期较为活跃的交易日，资金参与度明显提升。</w:t>
      </w:r>
    </w:p>
    <w:p>
      <w:pPr>
        <w:pStyle w:val="ListBullet"/>
      </w:pPr>
      <w:r>
        <w:rPr>
          <w:rFonts w:ascii="Microsoft YaHei" w:hAnsi="Microsoft YaHei"/>
        </w:rPr>
        <w:t>外盘69.84万手 vs 内盘53.33万手，</w:t>
      </w:r>
      <w:r>
        <w:rPr>
          <w:rFonts w:ascii="Microsoft YaHei" w:hAnsi="Microsoft YaHei"/>
          <w:b/>
          <w:color w:val="1A1A1A"/>
        </w:rPr>
        <w:t>外盘大于内盘</w:t>
      </w:r>
      <w:r>
        <w:rPr>
          <w:rFonts w:ascii="Microsoft YaHei" w:hAnsi="Microsoft YaHei"/>
        </w:rPr>
        <w:t>，主动买盘占优。</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r>
        <w:rPr>
          <w:rFonts w:ascii="Microsoft YaHei" w:hAnsi="Microsoft YaHei"/>
          <w:b/>
          <w:color w:val="1A1A1A"/>
        </w:rPr>
        <w:t>今日资金流向（逐分钟统计）</w:t>
      </w:r>
      <w:r>
        <w:rPr>
          <w:rFonts w:ascii="Microsoft YaHei" w:hAnsi="Microsoft YaHei"/>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维度</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净流入 3,903.48 万元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133 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sz w:val="18"/>
              </w:rPr>
              <w:t>105 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sz w:val="18"/>
              </w:rPr>
              <w:t>1,403.8 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sz w:val="18"/>
              </w:rPr>
              <w:t>3,894.8 万元</w:t>
            </w:r>
          </w:p>
        </w:tc>
      </w:tr>
    </w:tbl>
    <w:p/>
    <w:p>
      <w:r>
        <w:rPr>
          <w:rFonts w:ascii="Microsoft YaHei" w:hAnsi="Microsoft YaHei"/>
          <w:b/>
          <w:color w:val="1A1A1A"/>
        </w:rPr>
        <w:t>上一交易日资金细分（元）</w:t>
      </w:r>
      <w:r>
        <w:rPr>
          <w:rFonts w:ascii="Microsoft YaHei" w:hAnsi="Microsoft YaHei"/>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类型</w:t>
            </w:r>
          </w:p>
        </w:tc>
        <w:tc>
          <w:tcPr>
            <w:tcW w:type="dxa" w:w="3022"/>
            <w:shd w:fill="F6F8FA" w:val="clear"/>
          </w:tcPr>
          <w:p>
            <w:pPr>
              <w:spacing w:before="40" w:after="40" w:line="288" w:lineRule="auto"/>
            </w:pPr>
            <w:r/>
            <w:r>
              <w:rPr>
                <w:rFonts w:ascii="Microsoft YaHei" w:hAnsi="Microsoft YaHei"/>
                <w:b/>
                <w:color w:val="1A1A1A"/>
                <w:sz w:val="18"/>
              </w:rPr>
              <w:t>净额</w:t>
            </w:r>
          </w:p>
        </w:tc>
        <w:tc>
          <w:tcPr>
            <w:tcW w:type="dxa" w:w="3022"/>
            <w:shd w:fill="F6F8FA" w:val="clear"/>
          </w:tcPr>
          <w:p>
            <w:pPr>
              <w:spacing w:before="40" w:after="40" w:line="288" w:lineRule="auto"/>
            </w:pPr>
            <w:r/>
            <w:r>
              <w:rPr>
                <w:rFonts w:ascii="Microsoft YaHei" w:hAnsi="Microsoft YaHei"/>
                <w:b/>
                <w:color w:val="1A1A1A"/>
                <w:sz w:val="18"/>
              </w:rPr>
              <w:t>方向判断</w:t>
            </w:r>
          </w:p>
        </w:tc>
      </w:tr>
      <w:tr>
        <w:tc>
          <w:tcPr>
            <w:tcW w:type="dxa" w:w="3022"/>
          </w:tcPr>
          <w:p>
            <w:pPr>
              <w:spacing w:before="40" w:after="40" w:line="288" w:lineRule="auto"/>
            </w:pPr>
            <w:r/>
            <w:r>
              <w:rPr>
                <w:rFonts w:ascii="Microsoft YaHei" w:hAnsi="Microsoft YaHei"/>
                <w:sz w:val="18"/>
              </w:rPr>
              <w:t>大单</w:t>
            </w:r>
          </w:p>
        </w:tc>
        <w:tc>
          <w:tcPr>
            <w:tcW w:type="dxa" w:w="3022"/>
          </w:tcPr>
          <w:p>
            <w:pPr>
              <w:spacing w:before="40" w:after="40" w:line="288" w:lineRule="auto"/>
            </w:pPr>
            <w:r/>
            <w:r>
              <w:rPr>
                <w:rFonts w:ascii="Microsoft YaHei" w:hAnsi="Microsoft YaHei"/>
                <w:b/>
                <w:color w:val="1A1A1A"/>
                <w:sz w:val="18"/>
              </w:rPr>
              <w:t>-4,759 万</w:t>
            </w:r>
          </w:p>
        </w:tc>
        <w:tc>
          <w:tcPr>
            <w:tcW w:type="dxa" w:w="3022"/>
          </w:tcPr>
          <w:p>
            <w:pPr>
              <w:spacing w:before="40" w:after="40" w:line="288" w:lineRule="auto"/>
            </w:pPr>
            <w:r/>
            <w:r>
              <w:rPr>
                <w:rFonts w:ascii="Microsoft YaHei" w:hAnsi="Microsoft YaHei"/>
                <w:sz w:val="18"/>
              </w:rPr>
              <w:t>大资金净卖出</w:t>
            </w:r>
          </w:p>
        </w:tc>
      </w:tr>
      <w:tr>
        <w:tc>
          <w:tcPr>
            <w:tcW w:type="dxa" w:w="3022"/>
            <w:shd w:fill="F8F9FA" w:val="clear"/>
          </w:tcPr>
          <w:p>
            <w:pPr>
              <w:spacing w:before="40" w:after="40" w:line="288" w:lineRule="auto"/>
            </w:pPr>
            <w:r/>
            <w:r>
              <w:rPr>
                <w:rFonts w:ascii="Microsoft YaHei" w:hAnsi="Microsoft YaHei"/>
                <w:sz w:val="18"/>
              </w:rPr>
              <w:t>中单</w:t>
            </w:r>
          </w:p>
        </w:tc>
        <w:tc>
          <w:tcPr>
            <w:tcW w:type="dxa" w:w="3022"/>
            <w:shd w:fill="F8F9FA" w:val="clear"/>
          </w:tcPr>
          <w:p>
            <w:pPr>
              <w:spacing w:before="40" w:after="40" w:line="288" w:lineRule="auto"/>
            </w:pPr>
            <w:r/>
            <w:r>
              <w:rPr>
                <w:rFonts w:ascii="Microsoft YaHei" w:hAnsi="Microsoft YaHei"/>
                <w:b/>
                <w:color w:val="1A1A1A"/>
                <w:sz w:val="18"/>
              </w:rPr>
              <w:t>+3,588 万</w:t>
            </w:r>
          </w:p>
        </w:tc>
        <w:tc>
          <w:tcPr>
            <w:tcW w:type="dxa" w:w="3022"/>
            <w:shd w:fill="F8F9FA" w:val="clear"/>
          </w:tcPr>
          <w:p>
            <w:pPr>
              <w:spacing w:before="40" w:after="40" w:line="288" w:lineRule="auto"/>
            </w:pPr>
            <w:r/>
            <w:r>
              <w:rPr>
                <w:rFonts w:ascii="Microsoft YaHei" w:hAnsi="Microsoft YaHei"/>
                <w:sz w:val="18"/>
              </w:rPr>
              <w:t>中等资金净买入</w:t>
            </w:r>
          </w:p>
        </w:tc>
      </w:tr>
      <w:tr>
        <w:tc>
          <w:tcPr>
            <w:tcW w:type="dxa" w:w="3022"/>
          </w:tcPr>
          <w:p>
            <w:pPr>
              <w:spacing w:before="40" w:after="40" w:line="288" w:lineRule="auto"/>
            </w:pPr>
            <w:r/>
            <w:r>
              <w:rPr>
                <w:rFonts w:ascii="Microsoft YaHei" w:hAnsi="Microsoft YaHei"/>
                <w:sz w:val="18"/>
              </w:rPr>
              <w:t>小单</w:t>
            </w:r>
          </w:p>
        </w:tc>
        <w:tc>
          <w:tcPr>
            <w:tcW w:type="dxa" w:w="3022"/>
          </w:tcPr>
          <w:p>
            <w:pPr>
              <w:spacing w:before="40" w:after="40" w:line="288" w:lineRule="auto"/>
            </w:pPr>
            <w:r/>
            <w:r>
              <w:rPr>
                <w:rFonts w:ascii="Microsoft YaHei" w:hAnsi="Microsoft YaHei"/>
                <w:b/>
                <w:color w:val="1A1A1A"/>
                <w:sz w:val="18"/>
              </w:rPr>
              <w:t>+5,075 万</w:t>
            </w:r>
          </w:p>
        </w:tc>
        <w:tc>
          <w:tcPr>
            <w:tcW w:type="dxa" w:w="3022"/>
          </w:tcPr>
          <w:p>
            <w:pPr>
              <w:spacing w:before="40" w:after="40" w:line="288" w:lineRule="auto"/>
            </w:pPr>
            <w:r/>
            <w:r>
              <w:rPr>
                <w:rFonts w:ascii="Microsoft YaHei" w:hAnsi="Microsoft YaHei"/>
                <w:sz w:val="18"/>
              </w:rPr>
              <w:t>散户资金净买入</w:t>
            </w:r>
          </w:p>
        </w:tc>
      </w:tr>
    </w:tbl>
    <w:p/>
    <w:p>
      <w:r>
        <w:rPr>
          <w:rFonts w:ascii="Microsoft YaHei" w:hAnsi="Microsoft YaHei"/>
          <w:b/>
          <w:color w:val="1A1A1A"/>
        </w:rPr>
        <w:t>融资融券（前一交易日）</w:t>
      </w:r>
      <w:r>
        <w:rPr>
          <w:rFonts w:ascii="Microsoft YaHei" w:hAnsi="Microsoft YaHei"/>
        </w:rPr>
        <w:t>：</w:t>
      </w:r>
    </w:p>
    <w:p>
      <w:pPr>
        <w:pStyle w:val="ListBullet"/>
      </w:pPr>
      <w:r>
        <w:rPr>
          <w:rFonts w:ascii="Microsoft YaHei" w:hAnsi="Microsoft YaHei"/>
        </w:rPr>
        <w:t>融资余额：</w:t>
      </w:r>
      <w:r>
        <w:rPr>
          <w:rFonts w:ascii="Microsoft YaHei" w:hAnsi="Microsoft YaHei"/>
          <w:b/>
          <w:color w:val="1A1A1A"/>
        </w:rPr>
        <w:t>48.45 亿元</w:t>
      </w:r>
      <w:r>
        <w:rPr>
          <w:rFonts w:ascii="Microsoft YaHei" w:hAnsi="Microsoft YaHei"/>
        </w:rPr>
        <w:t>（较前日+0.89%）</w:t>
      </w:r>
    </w:p>
    <w:p>
      <w:pPr>
        <w:pStyle w:val="ListBullet"/>
      </w:pPr>
      <w:r>
        <w:rPr>
          <w:rFonts w:ascii="Microsoft YaHei" w:hAnsi="Microsoft YaHei"/>
        </w:rPr>
        <w:t>融券余额：</w:t>
      </w:r>
      <w:r>
        <w:rPr>
          <w:rFonts w:ascii="Microsoft YaHei" w:hAnsi="Microsoft YaHei"/>
          <w:b/>
          <w:color w:val="1A1A1A"/>
        </w:rPr>
        <w:t>0.11 亿元</w:t>
      </w:r>
      <w:r>
        <w:rPr>
          <w:rFonts w:ascii="Microsoft YaHei" w:hAnsi="Microsoft YaHei"/>
        </w:rPr>
        <w:t>（较前日+1.41%）</w:t>
      </w:r>
    </w:p>
    <w:p>
      <w:pPr>
        <w:pStyle w:val="ListBullet"/>
      </w:pPr>
      <w:r>
        <w:rPr>
          <w:rFonts w:ascii="Microsoft YaHei" w:hAnsi="Microsoft YaHei"/>
        </w:rPr>
        <w:t xml:space="preserve">融资余额占流通市值比例约 </w:t>
      </w:r>
      <w:r>
        <w:rPr>
          <w:rFonts w:ascii="Microsoft YaHei" w:hAnsi="Microsoft YaHei"/>
          <w:b/>
          <w:color w:val="1A1A1A"/>
        </w:rPr>
        <w:t>5.06%</w:t>
      </w:r>
      <w:r>
        <w:rPr>
          <w:rFonts w:ascii="Microsoft YaHei" w:hAnsi="Microsoft YaHei"/>
        </w:rPr>
        <w:t>，低于近一年40%分位水平</w:t>
      </w:r>
    </w:p>
    <w:p>
      <w:r>
        <w:rPr>
          <w:rFonts w:ascii="Microsoft YaHei" w:hAnsi="Microsoft YaHei"/>
          <w:b/>
          <w:color w:val="1A1A1A"/>
        </w:rPr>
        <w:t>资金面解读</w:t>
      </w:r>
      <w:r>
        <w:rPr>
          <w:rFonts w:ascii="Microsoft YaHei" w:hAnsi="Microsoft YaHei"/>
        </w:rPr>
        <w:t xml:space="preserve">：今日盘中截至午间，资金净流入近 </w:t>
      </w:r>
      <w:r>
        <w:rPr>
          <w:rFonts w:ascii="Microsoft YaHei" w:hAnsi="Microsoft YaHei"/>
          <w:b/>
          <w:color w:val="1A1A1A"/>
        </w:rPr>
        <w:t>3,900 万元</w:t>
      </w:r>
      <w:r>
        <w:rPr>
          <w:rFonts w:ascii="Microsoft YaHei" w:hAnsi="Microsoft YaHei"/>
        </w:rPr>
        <w:t>，但上一交易日大单净流出近4,800万元，资金结构存在分歧。融资余额小幅回升，显示杠杆资金情绪边际改善。值得注意的是，今日科技板块面临全球性抛售，隆基仍能吸引资金净流入，说明有</w:t>
      </w:r>
      <w:r>
        <w:rPr>
          <w:rFonts w:ascii="Microsoft YaHei" w:hAnsi="Microsoft YaHei"/>
          <w:b/>
          <w:color w:val="1A1A1A"/>
        </w:rPr>
        <w:t>增量资金在逆势布局</w:t>
      </w:r>
      <w:r>
        <w:rPr>
          <w:rFonts w:ascii="Microsoft YaHei" w:hAnsi="Microsoft YaHei"/>
        </w:rPr>
        <w:t>。</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均线/指标</w:t>
            </w:r>
          </w:p>
        </w:tc>
        <w:tc>
          <w:tcPr>
            <w:tcW w:type="dxa" w:w="3022"/>
            <w:shd w:fill="F6F8FA" w:val="clear"/>
          </w:tcPr>
          <w:p>
            <w:pPr>
              <w:spacing w:before="40" w:after="40" w:line="288" w:lineRule="auto"/>
            </w:pPr>
            <w:r/>
            <w:r>
              <w:rPr>
                <w:rFonts w:ascii="Microsoft YaHei" w:hAnsi="Microsoft YaHei"/>
                <w:b/>
                <w:color w:val="1A1A1A"/>
                <w:sz w:val="18"/>
              </w:rPr>
              <w:t>位置</w:t>
            </w:r>
          </w:p>
        </w:tc>
        <w:tc>
          <w:tcPr>
            <w:tcW w:type="dxa" w:w="3022"/>
            <w:shd w:fill="F6F8FA" w:val="clear"/>
          </w:tcPr>
          <w:p>
            <w:pPr>
              <w:spacing w:before="40" w:after="40" w:line="288" w:lineRule="auto"/>
            </w:pPr>
            <w:r/>
            <w:r>
              <w:rPr>
                <w:rFonts w:ascii="Microsoft YaHei" w:hAnsi="Microsoft YaHei"/>
                <w:b/>
                <w:color w:val="1A1A1A"/>
                <w:sz w:val="18"/>
              </w:rPr>
              <w:t>当前价偏离度</w:t>
            </w:r>
          </w:p>
        </w:tc>
      </w:tr>
      <w:tr>
        <w:tc>
          <w:tcPr>
            <w:tcW w:type="dxa" w:w="3022"/>
          </w:tcPr>
          <w:p>
            <w:pPr>
              <w:spacing w:before="40" w:after="40" w:line="288" w:lineRule="auto"/>
            </w:pPr>
            <w:r/>
            <w:r>
              <w:rPr>
                <w:rFonts w:ascii="Microsoft YaHei" w:hAnsi="Microsoft YaHei"/>
                <w:sz w:val="18"/>
              </w:rPr>
              <w:t>MA5（约12.42）</w:t>
            </w:r>
          </w:p>
        </w:tc>
        <w:tc>
          <w:tcPr>
            <w:tcW w:type="dxa" w:w="3022"/>
          </w:tcPr>
          <w:p>
            <w:pPr>
              <w:spacing w:before="40" w:after="40" w:line="288" w:lineRule="auto"/>
            </w:pPr>
            <w:r/>
            <w:r>
              <w:rPr>
                <w:rFonts w:ascii="Microsoft YaHei" w:hAnsi="Microsoft YaHei"/>
                <w:sz w:val="18"/>
              </w:rPr>
              <w:t>上方</w:t>
            </w:r>
          </w:p>
        </w:tc>
        <w:tc>
          <w:tcPr>
            <w:tcW w:type="dxa" w:w="3022"/>
          </w:tcPr>
          <w:p>
            <w:pPr>
              <w:spacing w:before="40" w:after="40" w:line="288" w:lineRule="auto"/>
            </w:pPr>
            <w:r/>
            <w:r>
              <w:rPr>
                <w:rFonts w:ascii="Microsoft YaHei" w:hAnsi="Microsoft YaHei"/>
                <w:b/>
                <w:color w:val="1A1A1A"/>
                <w:sz w:val="18"/>
              </w:rPr>
              <w:t>-3.4%</w:t>
            </w:r>
          </w:p>
        </w:tc>
      </w:tr>
      <w:tr>
        <w:tc>
          <w:tcPr>
            <w:tcW w:type="dxa" w:w="3022"/>
            <w:shd w:fill="F8F9FA" w:val="clear"/>
          </w:tcPr>
          <w:p>
            <w:pPr>
              <w:spacing w:before="40" w:after="40" w:line="288" w:lineRule="auto"/>
            </w:pPr>
            <w:r/>
            <w:r>
              <w:rPr>
                <w:rFonts w:ascii="Microsoft YaHei" w:hAnsi="Microsoft YaHei"/>
                <w:sz w:val="18"/>
              </w:rPr>
              <w:t>MA10（约12.07）</w:t>
            </w:r>
          </w:p>
        </w:tc>
        <w:tc>
          <w:tcPr>
            <w:tcW w:type="dxa" w:w="3022"/>
            <w:shd w:fill="F8F9FA" w:val="clear"/>
          </w:tcPr>
          <w:p>
            <w:pPr>
              <w:spacing w:before="40" w:after="40" w:line="288" w:lineRule="auto"/>
            </w:pPr>
            <w:r/>
            <w:r>
              <w:rPr>
                <w:rFonts w:ascii="Microsoft YaHei" w:hAnsi="Microsoft YaHei"/>
                <w:sz w:val="18"/>
              </w:rPr>
              <w:t>上方</w:t>
            </w:r>
          </w:p>
        </w:tc>
        <w:tc>
          <w:tcPr>
            <w:tcW w:type="dxa" w:w="3022"/>
            <w:shd w:fill="F8F9FA" w:val="clear"/>
          </w:tcPr>
          <w:p>
            <w:pPr>
              <w:spacing w:before="40" w:after="40" w:line="288" w:lineRule="auto"/>
            </w:pPr>
            <w:r/>
            <w:r>
              <w:rPr>
                <w:rFonts w:ascii="Microsoft YaHei" w:hAnsi="Microsoft YaHei"/>
                <w:b/>
                <w:color w:val="1A1A1A"/>
                <w:sz w:val="18"/>
              </w:rPr>
              <w:t>-0.6%</w:t>
            </w:r>
            <w:r>
              <w:rPr>
                <w:rFonts w:ascii="Microsoft YaHei" w:hAnsi="Microsoft YaHei"/>
                <w:sz w:val="18"/>
              </w:rPr>
              <w:t>（贴近）</w:t>
            </w:r>
          </w:p>
        </w:tc>
      </w:tr>
      <w:tr>
        <w:tc>
          <w:tcPr>
            <w:tcW w:type="dxa" w:w="3022"/>
          </w:tcPr>
          <w:p>
            <w:pPr>
              <w:spacing w:before="40" w:after="40" w:line="288" w:lineRule="auto"/>
            </w:pPr>
            <w:r/>
            <w:r>
              <w:rPr>
                <w:rFonts w:ascii="Microsoft YaHei" w:hAnsi="Microsoft YaHei"/>
                <w:sz w:val="18"/>
              </w:rPr>
              <w:t>MA20/布林中轨（约12.26）</w:t>
            </w:r>
          </w:p>
        </w:tc>
        <w:tc>
          <w:tcPr>
            <w:tcW w:type="dxa" w:w="3022"/>
          </w:tcPr>
          <w:p>
            <w:pPr>
              <w:spacing w:before="40" w:after="40" w:line="288" w:lineRule="auto"/>
            </w:pPr>
            <w:r/>
            <w:r>
              <w:rPr>
                <w:rFonts w:ascii="Microsoft YaHei" w:hAnsi="Microsoft YaHei"/>
                <w:sz w:val="18"/>
              </w:rPr>
              <w:t>上方</w:t>
            </w:r>
          </w:p>
        </w:tc>
        <w:tc>
          <w:tcPr>
            <w:tcW w:type="dxa" w:w="3022"/>
          </w:tcPr>
          <w:p>
            <w:pPr>
              <w:spacing w:before="40" w:after="40" w:line="288" w:lineRule="auto"/>
            </w:pPr>
            <w:r/>
            <w:r>
              <w:rPr>
                <w:rFonts w:ascii="Microsoft YaHei" w:hAnsi="Microsoft YaHei"/>
                <w:b/>
                <w:color w:val="1A1A1A"/>
                <w:sz w:val="18"/>
              </w:rPr>
              <w:t>-2.1%</w:t>
            </w:r>
          </w:p>
        </w:tc>
      </w:tr>
      <w:tr>
        <w:tc>
          <w:tcPr>
            <w:tcW w:type="dxa" w:w="3022"/>
            <w:shd w:fill="F8F9FA" w:val="clear"/>
          </w:tcPr>
          <w:p>
            <w:pPr>
              <w:spacing w:before="40" w:after="40" w:line="288" w:lineRule="auto"/>
            </w:pPr>
            <w:r/>
            <w:r>
              <w:rPr>
                <w:rFonts w:ascii="Microsoft YaHei" w:hAnsi="Microsoft YaHei"/>
                <w:sz w:val="18"/>
              </w:rPr>
              <w:t>布林带上轨（13.22）</w:t>
            </w:r>
          </w:p>
        </w:tc>
        <w:tc>
          <w:tcPr>
            <w:tcW w:type="dxa" w:w="3022"/>
            <w:shd w:fill="F8F9FA" w:val="clear"/>
          </w:tcPr>
          <w:p>
            <w:pPr>
              <w:spacing w:before="40" w:after="40" w:line="288" w:lineRule="auto"/>
            </w:pPr>
            <w:r/>
            <w:r>
              <w:rPr>
                <w:rFonts w:ascii="Microsoft YaHei" w:hAnsi="Microsoft YaHei"/>
                <w:sz w:val="18"/>
              </w:rPr>
              <w:t>上方</w:t>
            </w:r>
          </w:p>
        </w:tc>
        <w:tc>
          <w:tcPr>
            <w:tcW w:type="dxa" w:w="3022"/>
            <w:shd w:fill="F8F9FA" w:val="clear"/>
          </w:tcPr>
          <w:p>
            <w:pPr>
              <w:spacing w:before="40" w:after="40" w:line="288" w:lineRule="auto"/>
            </w:pPr>
            <w:r/>
            <w:r>
              <w:rPr>
                <w:rFonts w:ascii="Microsoft YaHei" w:hAnsi="Microsoft YaHei"/>
                <w:sz w:val="18"/>
              </w:rPr>
              <w:t>-9.2%</w:t>
            </w:r>
          </w:p>
        </w:tc>
      </w:tr>
      <w:tr>
        <w:tc>
          <w:tcPr>
            <w:tcW w:type="dxa" w:w="3022"/>
          </w:tcPr>
          <w:p>
            <w:pPr>
              <w:spacing w:before="40" w:after="40" w:line="288" w:lineRule="auto"/>
            </w:pPr>
            <w:r/>
            <w:r>
              <w:rPr>
                <w:rFonts w:ascii="Microsoft YaHei" w:hAnsi="Microsoft YaHei"/>
                <w:sz w:val="18"/>
              </w:rPr>
              <w:t>布林带下轨（11.30）</w:t>
            </w:r>
          </w:p>
        </w:tc>
        <w:tc>
          <w:tcPr>
            <w:tcW w:type="dxa" w:w="3022"/>
          </w:tcPr>
          <w:p>
            <w:pPr>
              <w:spacing w:before="40" w:after="40" w:line="288" w:lineRule="auto"/>
            </w:pPr>
            <w:r/>
            <w:r>
              <w:rPr>
                <w:rFonts w:ascii="Microsoft YaHei" w:hAnsi="Microsoft YaHei"/>
                <w:sz w:val="18"/>
              </w:rPr>
              <w:t>下方</w:t>
            </w:r>
          </w:p>
        </w:tc>
        <w:tc>
          <w:tcPr>
            <w:tcW w:type="dxa" w:w="3022"/>
          </w:tcPr>
          <w:p>
            <w:pPr>
              <w:spacing w:before="40" w:after="40" w:line="288" w:lineRule="auto"/>
            </w:pPr>
            <w:r/>
            <w:r>
              <w:rPr>
                <w:rFonts w:ascii="Microsoft YaHei" w:hAnsi="Microsoft YaHei"/>
                <w:sz w:val="18"/>
              </w:rPr>
              <w:t>+6.2%</w:t>
            </w:r>
          </w:p>
        </w:tc>
      </w:tr>
    </w:tbl>
    <w:p/>
    <w:p>
      <w:r>
        <w:rPr>
          <w:rFonts w:ascii="Microsoft YaHei" w:hAnsi="Microsoft YaHei"/>
          <w:b/>
          <w:color w:val="1A1A1A"/>
        </w:rPr>
        <w:t>技术研判</w:t>
      </w:r>
      <w:r>
        <w:rPr>
          <w:rFonts w:ascii="Microsoft YaHei" w:hAnsi="Microsoft YaHei"/>
        </w:rPr>
        <w:t>：</w:t>
      </w:r>
    </w:p>
    <w:p>
      <w:pPr>
        <w:pStyle w:val="ListBullet"/>
      </w:pPr>
      <w:r>
        <w:rPr>
          <w:rFonts w:ascii="Microsoft YaHei" w:hAnsi="Microsoft YaHei"/>
        </w:rPr>
        <w:t>当前股价12.00元</w:t>
      </w:r>
      <w:r>
        <w:rPr>
          <w:rFonts w:ascii="Microsoft YaHei" w:hAnsi="Microsoft YaHei"/>
          <w:b/>
          <w:color w:val="1A1A1A"/>
        </w:rPr>
        <w:t>站上MA10（12.07）附近</w:t>
      </w:r>
      <w:r>
        <w:rPr>
          <w:rFonts w:ascii="Microsoft YaHei" w:hAnsi="Microsoft YaHei"/>
        </w:rPr>
        <w:t>，但仍在MA5（12.42）和MA20/中轨（12.26）之下，整体处于</w:t>
      </w:r>
      <w:r>
        <w:rPr>
          <w:rFonts w:ascii="Microsoft YaHei" w:hAnsi="Microsoft YaHei"/>
          <w:b/>
          <w:color w:val="1A1A1A"/>
        </w:rPr>
        <w:t>短期均线空头排列</w:t>
      </w:r>
      <w:r>
        <w:rPr>
          <w:rFonts w:ascii="Microsoft YaHei" w:hAnsi="Microsoft YaHei"/>
        </w:rPr>
        <w:t>中。</w:t>
      </w:r>
    </w:p>
    <w:p>
      <w:pPr>
        <w:pStyle w:val="ListBullet"/>
      </w:pPr>
      <w:r>
        <w:rPr>
          <w:rFonts w:ascii="Microsoft YaHei" w:hAnsi="Microsoft YaHei"/>
        </w:rPr>
        <w:t>布林带中轨12.26构成短期压力位，上轨13.22为中期压力区，下轨11.30为强支撑。</w:t>
      </w:r>
    </w:p>
    <w:p>
      <w:pPr>
        <w:pStyle w:val="ListBullet"/>
      </w:pPr>
      <w:r>
        <w:rPr>
          <w:rFonts w:ascii="Microsoft YaHei" w:hAnsi="Microsoft YaHei"/>
        </w:rPr>
        <w:t>今日放量上涨使股价从布林带下轨附近向上反弹，</w:t>
      </w:r>
      <w:r>
        <w:rPr>
          <w:rFonts w:ascii="Microsoft YaHei" w:hAnsi="Microsoft YaHei"/>
          <w:b/>
          <w:color w:val="1A1A1A"/>
        </w:rPr>
        <w:t>MACD等震荡指标有望出现修复信号</w:t>
      </w:r>
      <w:r>
        <w:rPr>
          <w:rFonts w:ascii="Microsoft YaHei" w:hAnsi="Microsoft YaHei"/>
        </w:rPr>
        <w:t>。</w:t>
      </w:r>
    </w:p>
    <w:p>
      <w:pPr>
        <w:pStyle w:val="ListBullet"/>
      </w:pPr>
      <w:r>
        <w:rPr>
          <w:rFonts w:ascii="Microsoft YaHei" w:hAnsi="Microsoft YaHei"/>
        </w:rPr>
        <w:t>关键观察：若午后能站稳MA10（12.07）并挑战MA5（12.42），则短期反弹趋势成立；若回落至11.70以下，则反弹力度偏弱。</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隆基绿能相关</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标题</w:t>
            </w:r>
          </w:p>
        </w:tc>
        <w:tc>
          <w:tcPr>
            <w:tcW w:type="dxa" w:w="4533"/>
            <w:shd w:fill="F6F8FA" w:val="clear"/>
          </w:tcPr>
          <w:p>
            <w:pPr>
              <w:spacing w:before="40" w:after="40" w:line="288" w:lineRule="auto"/>
            </w:pPr>
            <w:r/>
            <w:r>
              <w:rPr>
                <w:rFonts w:ascii="Microsoft YaHei" w:hAnsi="Microsoft YaHei"/>
                <w:b/>
                <w:color w:val="1A1A1A"/>
                <w:sz w:val="18"/>
              </w:rPr>
              <w:t>影响判断</w:t>
            </w:r>
          </w:p>
        </w:tc>
      </w:tr>
      <w:tr>
        <w:tc>
          <w:tcPr>
            <w:tcW w:type="dxa" w:w="4533"/>
          </w:tcPr>
          <w:p>
            <w:pPr>
              <w:spacing w:before="40" w:after="40" w:line="288" w:lineRule="auto"/>
            </w:pPr>
            <w:r/>
            <w:r>
              <w:rPr>
                <w:rFonts w:ascii="Microsoft YaHei" w:hAnsi="Microsoft YaHei"/>
                <w:b/>
                <w:color w:val="1A1A1A"/>
                <w:sz w:val="18"/>
              </w:rPr>
              <w:t>隆基绿能"隆22转债"转股价格或向下修正</w:t>
            </w:r>
          </w:p>
        </w:tc>
        <w:tc>
          <w:tcPr>
            <w:tcW w:type="dxa" w:w="4533"/>
          </w:tcPr>
          <w:p>
            <w:pPr>
              <w:spacing w:before="40" w:after="40" w:line="288" w:lineRule="auto"/>
            </w:pPr>
            <w:r/>
            <w:r>
              <w:rPr>
                <w:rFonts w:ascii="Microsoft YaHei" w:hAnsi="Microsoft YaHei"/>
                <w:b/>
                <w:color w:val="1A1A1A"/>
                <w:sz w:val="18"/>
              </w:rPr>
              <w:t>偏利好</w:t>
            </w:r>
            <w:r>
              <w:rPr>
                <w:rFonts w:ascii="Microsoft YaHei" w:hAnsi="Microsoft YaHei"/>
                <w:sz w:val="18"/>
              </w:rPr>
              <w:t>。转股价下修可促进债转股，降低公司财务压力，对正股价格有正向催化作用</w:t>
            </w:r>
          </w:p>
        </w:tc>
      </w:tr>
      <w:tr>
        <w:tc>
          <w:tcPr>
            <w:tcW w:type="dxa" w:w="4533"/>
            <w:shd w:fill="F8F9FA" w:val="clear"/>
          </w:tcPr>
          <w:p>
            <w:pPr>
              <w:spacing w:before="40" w:after="40" w:line="288" w:lineRule="auto"/>
            </w:pPr>
            <w:r/>
            <w:r>
              <w:rPr>
                <w:rFonts w:ascii="Microsoft YaHei" w:hAnsi="Microsoft YaHei"/>
                <w:sz w:val="18"/>
              </w:rPr>
              <w:t>7月27日获融资买入1.08亿元，融资余额48.45亿元</w:t>
            </w:r>
          </w:p>
        </w:tc>
        <w:tc>
          <w:tcPr>
            <w:tcW w:type="dxa" w:w="4533"/>
            <w:shd w:fill="F8F9FA" w:val="clear"/>
          </w:tcPr>
          <w:p>
            <w:pPr>
              <w:spacing w:before="40" w:after="40" w:line="288" w:lineRule="auto"/>
            </w:pPr>
            <w:r/>
            <w:r>
              <w:rPr>
                <w:rFonts w:ascii="Microsoft YaHei" w:hAnsi="Microsoft YaHei"/>
                <w:sz w:val="18"/>
              </w:rPr>
              <w:t>中性偏正面。融资资金持续流入，杠杆资金认可度尚可</w:t>
            </w:r>
          </w:p>
        </w:tc>
      </w:tr>
    </w:tbl>
    <w:p/>
    <w:p>
      <w:pPr>
        <w:spacing w:before="280" w:after="80" w:line="312" w:lineRule="auto"/>
      </w:pPr>
      <w:r>
        <w:rPr>
          <w:rFonts w:ascii="Microsoft YaHei" w:hAnsi="Microsoft YaHei"/>
          <w:b/>
          <w:color w:val="333333"/>
          <w:sz w:val="24"/>
        </w:rPr>
        <w:t>光伏行业动态</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标题</w:t>
            </w:r>
          </w:p>
        </w:tc>
        <w:tc>
          <w:tcPr>
            <w:tcW w:type="dxa" w:w="4533"/>
            <w:shd w:fill="F6F8FA" w:val="clear"/>
          </w:tcPr>
          <w:p>
            <w:pPr>
              <w:spacing w:before="40" w:after="40" w:line="288" w:lineRule="auto"/>
            </w:pPr>
            <w:r/>
            <w:r>
              <w:rPr>
                <w:rFonts w:ascii="Microsoft YaHei" w:hAnsi="Microsoft YaHei"/>
                <w:b/>
                <w:color w:val="1A1A1A"/>
                <w:sz w:val="18"/>
              </w:rPr>
              <w:t>影响判断</w:t>
            </w:r>
          </w:p>
        </w:tc>
      </w:tr>
      <w:tr>
        <w:tc>
          <w:tcPr>
            <w:tcW w:type="dxa" w:w="4533"/>
          </w:tcPr>
          <w:p>
            <w:pPr>
              <w:spacing w:before="40" w:after="40" w:line="288" w:lineRule="auto"/>
            </w:pPr>
            <w:r/>
            <w:r>
              <w:rPr>
                <w:rFonts w:ascii="Microsoft YaHei" w:hAnsi="Microsoft YaHei"/>
                <w:b/>
                <w:color w:val="1A1A1A"/>
                <w:sz w:val="18"/>
              </w:rPr>
              <w:t>春天将至？光伏大佬预判明年头部企业能够盈利</w:t>
            </w:r>
          </w:p>
        </w:tc>
        <w:tc>
          <w:tcPr>
            <w:tcW w:type="dxa" w:w="4533"/>
          </w:tcPr>
          <w:p>
            <w:pPr>
              <w:spacing w:before="40" w:after="40" w:line="288" w:lineRule="auto"/>
            </w:pPr>
            <w:r/>
            <w:r>
              <w:rPr>
                <w:rFonts w:ascii="Microsoft YaHei" w:hAnsi="Microsoft YaHei"/>
                <w:b/>
                <w:color w:val="1A1A1A"/>
                <w:sz w:val="18"/>
              </w:rPr>
              <w:t>偏利好</w:t>
            </w:r>
            <w:r>
              <w:rPr>
                <w:rFonts w:ascii="Microsoft YaHei" w:hAnsi="Microsoft YaHei"/>
                <w:sz w:val="18"/>
              </w:rPr>
              <w:t>。行业产能出清接近尾声的预期升温，头部企业有望率先受益</w:t>
            </w:r>
          </w:p>
        </w:tc>
      </w:tr>
      <w:tr>
        <w:tc>
          <w:tcPr>
            <w:tcW w:type="dxa" w:w="4533"/>
            <w:shd w:fill="F8F9FA" w:val="clear"/>
          </w:tcPr>
          <w:p>
            <w:pPr>
              <w:spacing w:before="40" w:after="40" w:line="288" w:lineRule="auto"/>
            </w:pPr>
            <w:r/>
            <w:r>
              <w:rPr>
                <w:rFonts w:ascii="Microsoft YaHei" w:hAnsi="Microsoft YaHei"/>
                <w:sz w:val="18"/>
              </w:rPr>
              <w:t>光伏行业发展逻辑从"规模扩张"迈向"可靠替代"</w:t>
            </w:r>
          </w:p>
        </w:tc>
        <w:tc>
          <w:tcPr>
            <w:tcW w:type="dxa" w:w="4533"/>
            <w:shd w:fill="F8F9FA" w:val="clear"/>
          </w:tcPr>
          <w:p>
            <w:pPr>
              <w:spacing w:before="40" w:after="40" w:line="288" w:lineRule="auto"/>
            </w:pPr>
            <w:r/>
            <w:r>
              <w:rPr>
                <w:rFonts w:ascii="Microsoft YaHei" w:hAnsi="Microsoft YaHei"/>
                <w:b/>
                <w:color w:val="1A1A1A"/>
                <w:sz w:val="18"/>
              </w:rPr>
              <w:t>偏利好</w:t>
            </w:r>
            <w:r>
              <w:rPr>
                <w:rFonts w:ascii="Microsoft YaHei" w:hAnsi="Microsoft YaHei"/>
                <w:sz w:val="18"/>
              </w:rPr>
              <w:t>。行业从粗放扩张转向高质量发展，技术领先企业将获得定价权</w:t>
            </w:r>
          </w:p>
        </w:tc>
      </w:tr>
      <w:tr>
        <w:tc>
          <w:tcPr>
            <w:tcW w:type="dxa" w:w="4533"/>
          </w:tcPr>
          <w:p>
            <w:pPr>
              <w:spacing w:before="40" w:after="40" w:line="288" w:lineRule="auto"/>
            </w:pPr>
            <w:r/>
            <w:r>
              <w:rPr>
                <w:rFonts w:ascii="Microsoft YaHei" w:hAnsi="Microsoft YaHei"/>
                <w:sz w:val="18"/>
              </w:rPr>
              <w:t>天合光能靠炒美股赚超10亿，主业仍陷亏损</w:t>
            </w:r>
          </w:p>
        </w:tc>
        <w:tc>
          <w:tcPr>
            <w:tcW w:type="dxa" w:w="4533"/>
          </w:tcPr>
          <w:p>
            <w:pPr>
              <w:spacing w:before="40" w:after="40" w:line="288" w:lineRule="auto"/>
            </w:pPr>
            <w:r/>
            <w:r>
              <w:rPr>
                <w:rFonts w:ascii="Microsoft YaHei" w:hAnsi="Microsoft YaHei"/>
                <w:sz w:val="18"/>
              </w:rPr>
              <w:t>中性偏负面。反映光伏主业的盈利压力仍大，行业复苏尚未确认</w:t>
            </w:r>
          </w:p>
        </w:tc>
      </w:tr>
    </w:tbl>
    <w:p/>
    <w:p>
      <w:pPr>
        <w:spacing w:before="280" w:after="80" w:line="312" w:lineRule="auto"/>
      </w:pPr>
      <w:r>
        <w:rPr>
          <w:rFonts w:ascii="Microsoft YaHei" w:hAnsi="Microsoft YaHei"/>
          <w:b/>
          <w:color w:val="333333"/>
          <w:sz w:val="24"/>
        </w:rPr>
        <w:t>宏观环境</w:t>
      </w:r>
    </w:p>
    <w:p>
      <w:pPr>
        <w:pStyle w:val="ListBullet"/>
      </w:pPr>
      <w:r>
        <w:rPr>
          <w:rFonts w:ascii="Microsoft YaHei" w:hAnsi="Microsoft YaHei"/>
          <w:b/>
          <w:color w:val="1A1A1A"/>
        </w:rPr>
        <w:t>全球半导体股暴跌</w:t>
      </w:r>
      <w:r>
        <w:rPr>
          <w:rFonts w:ascii="Microsoft YaHei" w:hAnsi="Microsoft YaHei"/>
        </w:rPr>
        <w:t>：费城半导体指数创阶段新低，韩国KOSPI跌10%，SK海力士、三星电子重挫</w:t>
      </w:r>
    </w:p>
    <w:p>
      <w:pPr>
        <w:pStyle w:val="ListBullet"/>
      </w:pPr>
      <w:r>
        <w:rPr>
          <w:rFonts w:ascii="Microsoft YaHei" w:hAnsi="Microsoft YaHei"/>
          <w:b/>
          <w:color w:val="1A1A1A"/>
        </w:rPr>
        <w:t>A股科技板块承压</w:t>
      </w:r>
      <w:r>
        <w:rPr>
          <w:rFonts w:ascii="Microsoft YaHei" w:hAnsi="Microsoft YaHei"/>
        </w:rPr>
        <w:t>：创业板指跌逾6%，算力硬件、半导体芯片领跌</w:t>
      </w:r>
    </w:p>
    <w:p>
      <w:pPr>
        <w:pStyle w:val="ListBullet"/>
      </w:pPr>
      <w:r>
        <w:rPr>
          <w:rFonts w:ascii="Microsoft YaHei" w:hAnsi="Microsoft YaHei"/>
        </w:rPr>
        <w:t>电力板块仅跌0.78%，光伏作为新能源赛道相对独立，受半导体板块拖累有限</w:t>
      </w:r>
    </w:p>
    <w:p>
      <w:r>
        <w:rPr>
          <w:rFonts w:ascii="Microsoft YaHei" w:hAnsi="Microsoft YaHei"/>
          <w:b/>
          <w:color w:val="1A1A1A"/>
        </w:rPr>
        <w:t>资讯综合判断</w:t>
      </w:r>
      <w:r>
        <w:rPr>
          <w:rFonts w:ascii="Microsoft YaHei" w:hAnsi="Microsoft YaHei"/>
        </w:rPr>
        <w:t>：隆基绿能今日独立走强，与"隆22转债"转股价修正预期、光伏行业复苏预判以及资金从高位科技股向新能源赛道切换的避险逻辑密切相关。</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板块</w:t>
            </w:r>
          </w:p>
        </w:tc>
        <w:tc>
          <w:tcPr>
            <w:tcW w:type="dxa" w:w="3022"/>
            <w:shd w:fill="F6F8FA" w:val="clear"/>
          </w:tcPr>
          <w:p>
            <w:pPr>
              <w:spacing w:before="40" w:after="40" w:line="288" w:lineRule="auto"/>
            </w:pPr>
            <w:r/>
            <w:r>
              <w:rPr>
                <w:rFonts w:ascii="Microsoft YaHei" w:hAnsi="Microsoft YaHei"/>
                <w:b/>
                <w:color w:val="1A1A1A"/>
                <w:sz w:val="18"/>
              </w:rPr>
              <w:t>涨跌幅</w:t>
            </w:r>
          </w:p>
        </w:tc>
        <w:tc>
          <w:tcPr>
            <w:tcW w:type="dxa" w:w="3022"/>
            <w:shd w:fill="F6F8FA" w:val="clear"/>
          </w:tcPr>
          <w:p>
            <w:pPr>
              <w:spacing w:before="40" w:after="40" w:line="288" w:lineRule="auto"/>
            </w:pPr>
            <w:r/>
            <w:r>
              <w:rPr>
                <w:rFonts w:ascii="Microsoft YaHei" w:hAnsi="Microsoft YaHei"/>
                <w:b/>
                <w:color w:val="1A1A1A"/>
                <w:sz w:val="18"/>
              </w:rPr>
              <w:t>该股板块内排名</w:t>
            </w:r>
          </w:p>
        </w:tc>
      </w:tr>
      <w:tr>
        <w:tc>
          <w:tcPr>
            <w:tcW w:type="dxa" w:w="3022"/>
          </w:tcPr>
          <w:p>
            <w:pPr>
              <w:spacing w:before="40" w:after="40" w:line="288" w:lineRule="auto"/>
            </w:pPr>
            <w:r/>
            <w:r>
              <w:rPr>
                <w:rFonts w:ascii="Microsoft YaHei" w:hAnsi="Microsoft YaHei"/>
                <w:sz w:val="18"/>
              </w:rPr>
              <w:t>沪深300样本股</w:t>
            </w:r>
          </w:p>
        </w:tc>
        <w:tc>
          <w:tcPr>
            <w:tcW w:type="dxa" w:w="3022"/>
          </w:tcPr>
          <w:p>
            <w:pPr>
              <w:spacing w:before="40" w:after="40" w:line="288" w:lineRule="auto"/>
            </w:pPr>
            <w:r/>
            <w:r>
              <w:rPr>
                <w:rFonts w:ascii="Microsoft YaHei" w:hAnsi="Microsoft YaHei"/>
                <w:b/>
                <w:color w:val="1A1A1A"/>
                <w:sz w:val="18"/>
              </w:rPr>
              <w:t>+1.57%</w:t>
            </w:r>
          </w:p>
        </w:tc>
        <w:tc>
          <w:tcPr>
            <w:tcW w:type="dxa" w:w="3022"/>
          </w:tcPr>
          <w:p>
            <w:pPr>
              <w:spacing w:before="40" w:after="40" w:line="288" w:lineRule="auto"/>
            </w:pPr>
            <w:r/>
            <w:r>
              <w:rPr>
                <w:rFonts w:ascii="Microsoft YaHei" w:hAnsi="Microsoft YaHei"/>
                <w:sz w:val="18"/>
              </w:rPr>
              <w:t>174/319（中位偏后）</w:t>
            </w:r>
          </w:p>
        </w:tc>
      </w:tr>
      <w:tr>
        <w:tc>
          <w:tcPr>
            <w:tcW w:type="dxa" w:w="3022"/>
            <w:shd w:fill="F8F9FA" w:val="clear"/>
          </w:tcPr>
          <w:p>
            <w:pPr>
              <w:spacing w:before="40" w:after="40" w:line="288" w:lineRule="auto"/>
            </w:pPr>
            <w:r/>
            <w:r>
              <w:rPr>
                <w:rFonts w:ascii="Microsoft YaHei" w:hAnsi="Microsoft YaHei"/>
                <w:sz w:val="18"/>
              </w:rPr>
              <w:t>上证50样本股</w:t>
            </w:r>
          </w:p>
        </w:tc>
        <w:tc>
          <w:tcPr>
            <w:tcW w:type="dxa" w:w="3022"/>
            <w:shd w:fill="F8F9FA" w:val="clear"/>
          </w:tcPr>
          <w:p>
            <w:pPr>
              <w:spacing w:before="40" w:after="40" w:line="288" w:lineRule="auto"/>
            </w:pPr>
            <w:r/>
            <w:r>
              <w:rPr>
                <w:rFonts w:ascii="Microsoft YaHei" w:hAnsi="Microsoft YaHei"/>
                <w:b/>
                <w:color w:val="1A1A1A"/>
                <w:sz w:val="18"/>
              </w:rPr>
              <w:t>+3.11%</w:t>
            </w:r>
          </w:p>
        </w:tc>
        <w:tc>
          <w:tcPr>
            <w:tcW w:type="dxa" w:w="3022"/>
            <w:shd w:fill="F8F9FA" w:val="clear"/>
          </w:tcPr>
          <w:p>
            <w:pPr>
              <w:spacing w:before="40" w:after="40" w:line="288" w:lineRule="auto"/>
            </w:pPr>
            <w:r/>
            <w:r>
              <w:rPr>
                <w:rFonts w:ascii="Microsoft YaHei" w:hAnsi="Microsoft YaHei"/>
                <w:sz w:val="18"/>
              </w:rPr>
              <w:t>46/55（偏后）</w:t>
            </w:r>
          </w:p>
        </w:tc>
      </w:tr>
      <w:tr>
        <w:tc>
          <w:tcPr>
            <w:tcW w:type="dxa" w:w="3022"/>
          </w:tcPr>
          <w:p>
            <w:pPr>
              <w:spacing w:before="40" w:after="40" w:line="288" w:lineRule="auto"/>
            </w:pPr>
            <w:r/>
            <w:r>
              <w:rPr>
                <w:rFonts w:ascii="Microsoft YaHei" w:hAnsi="Microsoft YaHei"/>
                <w:sz w:val="18"/>
              </w:rPr>
              <w:t>融资融券板块</w:t>
            </w:r>
          </w:p>
        </w:tc>
        <w:tc>
          <w:tcPr>
            <w:tcW w:type="dxa" w:w="3022"/>
          </w:tcPr>
          <w:p>
            <w:pPr>
              <w:spacing w:before="40" w:after="40" w:line="288" w:lineRule="auto"/>
            </w:pPr>
            <w:r/>
            <w:r>
              <w:rPr>
                <w:rFonts w:ascii="Microsoft YaHei" w:hAnsi="Microsoft YaHei"/>
                <w:b/>
                <w:color w:val="1A1A1A"/>
                <w:sz w:val="18"/>
              </w:rPr>
              <w:t>-1.92%</w:t>
            </w:r>
          </w:p>
        </w:tc>
        <w:tc>
          <w:tcPr>
            <w:tcW w:type="dxa" w:w="3022"/>
          </w:tcPr>
          <w:p>
            <w:pPr>
              <w:spacing w:before="40" w:after="40" w:line="288" w:lineRule="auto"/>
            </w:pPr>
            <w:r/>
            <w:r>
              <w:rPr>
                <w:rFonts w:ascii="Microsoft YaHei" w:hAnsi="Microsoft YaHei"/>
                <w:sz w:val="18"/>
              </w:rPr>
              <w:t>704/3516（中位偏前）</w:t>
            </w:r>
          </w:p>
        </w:tc>
      </w:tr>
      <w:tr>
        <w:tc>
          <w:tcPr>
            <w:tcW w:type="dxa" w:w="3022"/>
            <w:shd w:fill="F8F9FA" w:val="clear"/>
          </w:tcPr>
          <w:p>
            <w:pPr>
              <w:spacing w:before="40" w:after="40" w:line="288" w:lineRule="auto"/>
            </w:pPr>
            <w:r/>
            <w:r>
              <w:rPr>
                <w:rFonts w:ascii="Microsoft YaHei" w:hAnsi="Microsoft YaHei"/>
                <w:sz w:val="18"/>
              </w:rPr>
              <w:t>半导体产品与设备Ⅱ</w:t>
            </w:r>
          </w:p>
        </w:tc>
        <w:tc>
          <w:tcPr>
            <w:tcW w:type="dxa" w:w="3022"/>
            <w:shd w:fill="F8F9FA" w:val="clear"/>
          </w:tcPr>
          <w:p>
            <w:pPr>
              <w:spacing w:before="40" w:after="40" w:line="288" w:lineRule="auto"/>
            </w:pPr>
            <w:r/>
            <w:r>
              <w:rPr>
                <w:rFonts w:ascii="Microsoft YaHei" w:hAnsi="Microsoft YaHei"/>
                <w:b/>
                <w:color w:val="1A1A1A"/>
                <w:sz w:val="18"/>
              </w:rPr>
              <w:t>-5.27%</w:t>
            </w:r>
          </w:p>
        </w:tc>
        <w:tc>
          <w:tcPr>
            <w:tcW w:type="dxa" w:w="3022"/>
            <w:shd w:fill="F8F9FA" w:val="clear"/>
          </w:tcPr>
          <w:p>
            <w:pPr>
              <w:spacing w:before="40" w:after="40" w:line="288" w:lineRule="auto"/>
            </w:pPr>
            <w:r/>
            <w:r>
              <w:rPr>
                <w:rFonts w:ascii="Microsoft YaHei" w:hAnsi="Microsoft YaHei"/>
                <w:sz w:val="18"/>
              </w:rPr>
              <w:t>21/207（逆势靠前）</w:t>
            </w:r>
          </w:p>
        </w:tc>
      </w:tr>
    </w:tbl>
    <w:p/>
    <w:p>
      <w:r>
        <w:rPr>
          <w:rFonts w:ascii="Microsoft YaHei" w:hAnsi="Microsoft YaHei"/>
          <w:b/>
          <w:color w:val="1A1A1A"/>
        </w:rPr>
        <w:t>板块表现解读</w:t>
      </w:r>
      <w:r>
        <w:rPr>
          <w:rFonts w:ascii="Microsoft YaHei" w:hAnsi="Microsoft YaHei"/>
        </w:rPr>
        <w:t>：</w:t>
      </w:r>
    </w:p>
    <w:p>
      <w:pPr>
        <w:pStyle w:val="ListBullet"/>
      </w:pPr>
      <w:r>
        <w:rPr>
          <w:rFonts w:ascii="Microsoft YaHei" w:hAnsi="Microsoft YaHei"/>
        </w:rPr>
        <w:t>隆基绿能在沪深300（+1.57%）中表现居中，弱于上证50（+3.11%）但强于融资融券板块（-1.92%）。</w:t>
      </w:r>
    </w:p>
    <w:p>
      <w:pPr>
        <w:pStyle w:val="ListBullet"/>
      </w:pPr>
      <w:r>
        <w:rPr>
          <w:rFonts w:ascii="Microsoft YaHei" w:hAnsi="Microsoft YaHei"/>
        </w:rPr>
        <w:t>在半导体产品与设备板块暴跌</w:t>
      </w:r>
      <w:r>
        <w:rPr>
          <w:rFonts w:ascii="Microsoft YaHei" w:hAnsi="Microsoft YaHei"/>
          <w:b/>
          <w:color w:val="1A1A1A"/>
        </w:rPr>
        <w:t>-5.27%</w:t>
      </w:r>
      <w:r>
        <w:rPr>
          <w:rFonts w:ascii="Microsoft YaHei" w:hAnsi="Microsoft YaHei"/>
        </w:rPr>
        <w:t>的环境下，隆基绿能录得涨幅，凸显其</w:t>
      </w:r>
      <w:r>
        <w:rPr>
          <w:rFonts w:ascii="Microsoft YaHei" w:hAnsi="Microsoft YaHei"/>
          <w:b/>
          <w:color w:val="1A1A1A"/>
        </w:rPr>
        <w:t>光伏属性强于半导体属性</w:t>
      </w:r>
      <w:r>
        <w:rPr>
          <w:rFonts w:ascii="Microsoft YaHei" w:hAnsi="Microsoft YaHei"/>
        </w:rPr>
        <w:t>，并未被板块拖累。</w:t>
      </w:r>
    </w:p>
    <w:p>
      <w:pPr>
        <w:pStyle w:val="ListBullet"/>
      </w:pPr>
      <w:r>
        <w:rPr>
          <w:rFonts w:ascii="Microsoft YaHei" w:hAnsi="Microsoft YaHei"/>
        </w:rPr>
        <w:t>电力板块整体仅微跌0.78%，相对抗跌，光伏作为电力子赛道受益于风格切换。</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评分（★）</w:t>
            </w:r>
          </w:p>
        </w:tc>
        <w:tc>
          <w:tcPr>
            <w:tcW w:type="dxa" w:w="3022"/>
            <w:shd w:fill="F6F8FA" w:val="clear"/>
          </w:tcPr>
          <w:p>
            <w:pPr>
              <w:spacing w:before="40" w:after="40" w:line="288" w:lineRule="auto"/>
            </w:pPr>
            <w:r/>
            <w:r>
              <w:rPr>
                <w:rFonts w:ascii="Microsoft YaHei" w:hAnsi="Microsoft YaHei"/>
                <w:b/>
                <w:color w:val="1A1A1A"/>
                <w:sz w:val="18"/>
              </w:rPr>
              <w:t>理由</w:t>
            </w:r>
          </w:p>
        </w:tc>
      </w:tr>
      <w:tr>
        <w:tc>
          <w:tcPr>
            <w:tcW w:type="dxa" w:w="3022"/>
          </w:tcPr>
          <w:p>
            <w:pPr>
              <w:spacing w:before="40" w:after="40" w:line="288" w:lineRule="auto"/>
            </w:pPr>
            <w:r/>
            <w:r>
              <w:rPr>
                <w:rFonts w:ascii="Microsoft YaHei" w:hAnsi="Microsoft YaHei"/>
                <w:sz w:val="18"/>
              </w:rPr>
              <w:t>资金情绪</w:t>
            </w:r>
          </w:p>
        </w:tc>
        <w:tc>
          <w:tcPr>
            <w:tcW w:type="dxa" w:w="3022"/>
          </w:tcPr>
          <w:p>
            <w:pPr>
              <w:spacing w:before="40" w:after="40" w:line="288" w:lineRule="auto"/>
            </w:pPr>
            <w:r/>
            <w:r>
              <w:rPr>
                <w:rFonts w:ascii="Microsoft YaHei" w:hAnsi="Microsoft YaHei"/>
                <w:sz w:val="18"/>
              </w:rPr>
              <w:t>★★★☆</w:t>
            </w:r>
          </w:p>
        </w:tc>
        <w:tc>
          <w:tcPr>
            <w:tcW w:type="dxa" w:w="3022"/>
          </w:tcPr>
          <w:p>
            <w:pPr>
              <w:spacing w:before="40" w:after="40" w:line="288" w:lineRule="auto"/>
            </w:pPr>
            <w:r/>
            <w:r>
              <w:rPr>
                <w:rFonts w:ascii="Microsoft YaHei" w:hAnsi="Microsoft YaHei"/>
                <w:sz w:val="18"/>
              </w:rPr>
              <w:t>逆势净流入近3,900万，外盘&gt;内盘，但大单层面仍有分歧</w:t>
            </w:r>
          </w:p>
        </w:tc>
      </w:tr>
      <w:tr>
        <w:tc>
          <w:tcPr>
            <w:tcW w:type="dxa" w:w="3022"/>
            <w:shd w:fill="F8F9FA" w:val="clear"/>
          </w:tcPr>
          <w:p>
            <w:pPr>
              <w:spacing w:before="40" w:after="40" w:line="288" w:lineRule="auto"/>
            </w:pPr>
            <w:r/>
            <w:r>
              <w:rPr>
                <w:rFonts w:ascii="Microsoft YaHei" w:hAnsi="Microsoft YaHei"/>
                <w:sz w:val="18"/>
              </w:rPr>
              <w:t>技术形态</w:t>
            </w:r>
          </w:p>
        </w:tc>
        <w:tc>
          <w:tcPr>
            <w:tcW w:type="dxa" w:w="3022"/>
            <w:shd w:fill="F8F9FA" w:val="clear"/>
          </w:tcPr>
          <w:p>
            <w:pPr>
              <w:spacing w:before="40" w:after="40" w:line="288" w:lineRule="auto"/>
            </w:pPr>
            <w:r/>
            <w:r>
              <w:rPr>
                <w:rFonts w:ascii="Microsoft YaHei" w:hAnsi="Microsoft YaHei"/>
                <w:sz w:val="18"/>
              </w:rPr>
              <w:t>★★★</w:t>
            </w:r>
          </w:p>
        </w:tc>
        <w:tc>
          <w:tcPr>
            <w:tcW w:type="dxa" w:w="3022"/>
            <w:shd w:fill="F8F9FA" w:val="clear"/>
          </w:tcPr>
          <w:p>
            <w:pPr>
              <w:spacing w:before="40" w:after="40" w:line="288" w:lineRule="auto"/>
            </w:pPr>
            <w:r/>
            <w:r>
              <w:rPr>
                <w:rFonts w:ascii="Microsoft YaHei" w:hAnsi="Microsoft YaHei"/>
                <w:sz w:val="18"/>
              </w:rPr>
              <w:t>放量突破MA10，但MA5/MA20仍在上方构成压力，需确认突破</w:t>
            </w:r>
          </w:p>
        </w:tc>
      </w:tr>
      <w:tr>
        <w:tc>
          <w:tcPr>
            <w:tcW w:type="dxa" w:w="3022"/>
          </w:tcPr>
          <w:p>
            <w:pPr>
              <w:spacing w:before="40" w:after="40" w:line="288" w:lineRule="auto"/>
            </w:pPr>
            <w:r/>
            <w:r>
              <w:rPr>
                <w:rFonts w:ascii="Microsoft YaHei" w:hAnsi="Microsoft YaHei"/>
                <w:sz w:val="18"/>
              </w:rPr>
              <w:t>消息面催化</w:t>
            </w:r>
          </w:p>
        </w:tc>
        <w:tc>
          <w:tcPr>
            <w:tcW w:type="dxa" w:w="3022"/>
          </w:tcPr>
          <w:p>
            <w:pPr>
              <w:spacing w:before="40" w:after="40" w:line="288" w:lineRule="auto"/>
            </w:pPr>
            <w:r/>
            <w:r>
              <w:rPr>
                <w:rFonts w:ascii="Microsoft YaHei" w:hAnsi="Microsoft YaHei"/>
                <w:sz w:val="18"/>
              </w:rPr>
              <w:t>★★★★</w:t>
            </w:r>
          </w:p>
        </w:tc>
        <w:tc>
          <w:tcPr>
            <w:tcW w:type="dxa" w:w="3022"/>
          </w:tcPr>
          <w:p>
            <w:pPr>
              <w:spacing w:before="40" w:after="40" w:line="288" w:lineRule="auto"/>
            </w:pPr>
            <w:r/>
            <w:r>
              <w:rPr>
                <w:rFonts w:ascii="Microsoft YaHei" w:hAnsi="Microsoft YaHei"/>
                <w:sz w:val="18"/>
              </w:rPr>
              <w:t>转债转股价修正预期+光伏盈利拐点预判，双重利好催化</w:t>
            </w:r>
          </w:p>
        </w:tc>
      </w:tr>
      <w:tr>
        <w:tc>
          <w:tcPr>
            <w:tcW w:type="dxa" w:w="3022"/>
            <w:shd w:fill="F8F9FA" w:val="clear"/>
          </w:tcPr>
          <w:p>
            <w:pPr>
              <w:spacing w:before="40" w:after="40" w:line="288" w:lineRule="auto"/>
            </w:pPr>
            <w:r/>
            <w:r>
              <w:rPr>
                <w:rFonts w:ascii="Microsoft YaHei" w:hAnsi="Microsoft YaHei"/>
                <w:sz w:val="18"/>
              </w:rPr>
              <w:t>板块环境</w:t>
            </w:r>
          </w:p>
        </w:tc>
        <w:tc>
          <w:tcPr>
            <w:tcW w:type="dxa" w:w="3022"/>
            <w:shd w:fill="F8F9FA" w:val="clear"/>
          </w:tcPr>
          <w:p>
            <w:pPr>
              <w:spacing w:before="40" w:after="40" w:line="288" w:lineRule="auto"/>
            </w:pPr>
            <w:r/>
            <w:r>
              <w:rPr>
                <w:rFonts w:ascii="Microsoft YaHei" w:hAnsi="Microsoft YaHei"/>
                <w:sz w:val="18"/>
              </w:rPr>
              <w:t>★★★★</w:t>
            </w:r>
          </w:p>
        </w:tc>
        <w:tc>
          <w:tcPr>
            <w:tcW w:type="dxa" w:w="3022"/>
            <w:shd w:fill="F8F9FA" w:val="clear"/>
          </w:tcPr>
          <w:p>
            <w:pPr>
              <w:spacing w:before="40" w:after="40" w:line="288" w:lineRule="auto"/>
            </w:pPr>
            <w:r/>
            <w:r>
              <w:rPr>
                <w:rFonts w:ascii="Microsoft YaHei" w:hAnsi="Microsoft YaHei"/>
                <w:sz w:val="18"/>
              </w:rPr>
              <w:t>科技股暴跌背景下的资金溢出效应，光伏赛道相对收益凸显</w:t>
            </w:r>
          </w:p>
        </w:tc>
      </w:tr>
    </w:tbl>
    <w:p/>
    <w:p>
      <w:r>
        <w:rPr>
          <w:rFonts w:ascii="Microsoft YaHei" w:hAnsi="Microsoft YaHei"/>
          <w:b/>
          <w:color w:val="1A1A1A"/>
        </w:rPr>
        <w:t>主力观点</w:t>
      </w:r>
      <w:r>
        <w:rPr>
          <w:rFonts w:ascii="Microsoft YaHei" w:hAnsi="Microsoft YaHei"/>
        </w:rPr>
        <w:t>：</w:t>
      </w:r>
    </w:p>
    <w:p>
      <w:r>
        <w:rPr>
          <w:rFonts w:ascii="Microsoft YaHei" w:hAnsi="Microsoft YaHei"/>
        </w:rPr>
        <w:t>隆基绿能今日在</w:t>
      </w:r>
      <w:r>
        <w:rPr>
          <w:rFonts w:ascii="Microsoft YaHei" w:hAnsi="Microsoft YaHei"/>
          <w:b/>
          <w:color w:val="1A1A1A"/>
        </w:rPr>
        <w:t>全球半导体抛售浪潮中逆势大涨2.13%</w:t>
      </w:r>
      <w:r>
        <w:rPr>
          <w:rFonts w:ascii="Microsoft YaHei" w:hAnsi="Microsoft YaHei"/>
        </w:rPr>
        <w:t>，核心逻辑在于：</w:t>
      </w:r>
    </w:p>
    <w:p>
      <w:pPr>
        <w:pStyle w:val="ListNumber"/>
      </w:pPr>
      <w:r>
        <w:rPr>
          <w:rFonts w:ascii="Microsoft YaHei" w:hAnsi="Microsoft YaHei"/>
          <w:b/>
          <w:color w:val="1A1A1A"/>
        </w:rPr>
        <w:t>"避险+高低切换"逻辑</w:t>
      </w:r>
      <w:r>
        <w:rPr>
          <w:rFonts w:ascii="Microsoft YaHei" w:hAnsi="Microsoft YaHei"/>
        </w:rPr>
        <w:t>：持续大涨的AI算力/半导体板块回调压力释放，资金从高位科技股向处于低位的</w:t>
      </w:r>
      <w:r>
        <w:rPr>
          <w:rFonts w:ascii="Microsoft YaHei" w:hAnsi="Microsoft YaHei"/>
          <w:b/>
          <w:color w:val="1A1A1A"/>
        </w:rPr>
        <w:t>新能源龙头</w:t>
      </w:r>
      <w:r>
        <w:rPr>
          <w:rFonts w:ascii="Microsoft YaHei" w:hAnsi="Microsoft YaHei"/>
        </w:rPr>
        <w:t>切换，隆基绿能当前PB仅1.80倍，估值处于历史底部区域，具备</w:t>
      </w:r>
      <w:r>
        <w:rPr>
          <w:rFonts w:ascii="Microsoft YaHei" w:hAnsi="Microsoft YaHei"/>
          <w:b/>
          <w:color w:val="1A1A1A"/>
        </w:rPr>
        <w:t>安全边际</w:t>
      </w:r>
      <w:r>
        <w:rPr>
          <w:rFonts w:ascii="Microsoft YaHei" w:hAnsi="Microsoft YaHei"/>
        </w:rPr>
        <w:t>。</w:t>
      </w:r>
    </w:p>
    <w:p>
      <w:pPr>
        <w:pStyle w:val="ListNumber"/>
      </w:pPr>
      <w:r>
        <w:rPr>
          <w:rFonts w:ascii="Microsoft YaHei" w:hAnsi="Microsoft YaHei"/>
          <w:b/>
          <w:color w:val="1A1A1A"/>
        </w:rPr>
        <w:t>基本面左侧信号</w:t>
      </w:r>
      <w:r>
        <w:rPr>
          <w:rFonts w:ascii="Microsoft YaHei" w:hAnsi="Microsoft YaHei"/>
        </w:rPr>
        <w:t>："隆22转债"转股价下修预期释放积极信号，叠加行业大佬预判2027年头部企业有望盈利，市场对光伏行业</w:t>
      </w:r>
      <w:r>
        <w:rPr>
          <w:rFonts w:ascii="Microsoft YaHei" w:hAnsi="Microsoft YaHei"/>
          <w:b/>
          <w:color w:val="1A1A1A"/>
        </w:rPr>
        <w:t>产能出清接近尾声</w:t>
      </w:r>
      <w:r>
        <w:rPr>
          <w:rFonts w:ascii="Microsoft YaHei" w:hAnsi="Microsoft YaHei"/>
        </w:rPr>
        <w:t>的预期正在增强。</w:t>
      </w:r>
    </w:p>
    <w:p>
      <w:pPr>
        <w:pStyle w:val="ListNumber"/>
      </w:pPr>
      <w:r>
        <w:rPr>
          <w:rFonts w:ascii="Microsoft YaHei" w:hAnsi="Microsoft YaHei"/>
          <w:b/>
          <w:color w:val="1A1A1A"/>
        </w:rPr>
        <w:t>量价配合积极</w:t>
      </w:r>
      <w:r>
        <w:rPr>
          <w:rFonts w:ascii="Microsoft YaHei" w:hAnsi="Microsoft YaHei"/>
        </w:rPr>
        <w:t>：换手率放大44%，量比1.16，属</w:t>
      </w:r>
      <w:r>
        <w:rPr>
          <w:rFonts w:ascii="Microsoft YaHei" w:hAnsi="Microsoft YaHei"/>
          <w:b/>
          <w:color w:val="1A1A1A"/>
        </w:rPr>
        <w:t>温和放量上涨</w:t>
      </w:r>
      <w:r>
        <w:rPr>
          <w:rFonts w:ascii="Microsoft YaHei" w:hAnsi="Microsoft YaHei"/>
        </w:rPr>
        <w:t>，并非脉冲式拉升，资金的持续性相对可靠。</w:t>
      </w:r>
    </w:p>
    <w:p>
      <w:r>
        <w:rPr>
          <w:rFonts w:ascii="Microsoft YaHei" w:hAnsi="Microsoft YaHei"/>
          <w:b/>
          <w:color w:val="1A1A1A"/>
        </w:rPr>
        <w:t>风险提示</w:t>
      </w:r>
      <w:r>
        <w:rPr>
          <w:rFonts w:ascii="Microsoft YaHei" w:hAnsi="Microsoft YaHei"/>
        </w:rPr>
        <w:t>：</w:t>
      </w:r>
    </w:p>
    <w:p>
      <w:pPr>
        <w:pStyle w:val="ListBullet"/>
      </w:pPr>
      <w:r>
        <w:rPr>
          <w:rFonts w:ascii="Microsoft YaHei" w:hAnsi="Microsoft YaHei"/>
        </w:rPr>
        <w:t>当前MA5（12.42）和MA20/中轨（12.26）构成技术压制，午后需关注能否有效突破</w:t>
      </w:r>
    </w:p>
    <w:p>
      <w:pPr>
        <w:pStyle w:val="ListBullet"/>
      </w:pPr>
      <w:r>
        <w:rPr>
          <w:rFonts w:ascii="Microsoft YaHei" w:hAnsi="Microsoft YaHei"/>
        </w:rPr>
        <w:t>动态市盈率为负，公司仍处于亏损期，基本面拐点尚未数据验证</w:t>
      </w:r>
    </w:p>
    <w:p>
      <w:pPr>
        <w:pStyle w:val="ListBullet"/>
      </w:pPr>
      <w:r>
        <w:rPr>
          <w:rFonts w:ascii="Microsoft YaHei" w:hAnsi="Microsoft YaHei"/>
        </w:rPr>
        <w:t>全球科技股的恐慌情绪若持续蔓延，可能通过β效应拖累新能源板块</w:t>
      </w:r>
    </w:p>
    <w:p>
      <w:pPr>
        <w:pStyle w:val="ListBullet"/>
      </w:pPr>
      <w:r>
        <w:rPr>
          <w:rFonts w:ascii="Microsoft YaHei" w:hAnsi="Microsoft YaHei"/>
        </w:rPr>
        <w:t>融资余额48.45亿占流通市值5.06%，若市场持续下挫，存在</w:t>
      </w:r>
      <w:r>
        <w:rPr>
          <w:rFonts w:ascii="Microsoft YaHei" w:hAnsi="Microsoft YaHei"/>
          <w:b/>
          <w:color w:val="1A1A1A"/>
        </w:rPr>
        <w:t>融资盘踩踏风险</w:t>
      </w:r>
    </w:p>
    <w:p>
      <w:r>
        <w:rPr>
          <w:rFonts w:ascii="Microsoft YaHei" w:hAnsi="Microsoft YaHei"/>
          <w:b/>
          <w:color w:val="1A1A1A"/>
        </w:rPr>
        <w:t>午后关键观察位</w:t>
      </w:r>
      <w:r>
        <w:rPr>
          <w:rFonts w:ascii="Microsoft YaHei" w:hAnsi="Microsoft YaHei"/>
        </w:rPr>
        <w:t xml:space="preserve">：支撑位 </w:t>
      </w:r>
      <w:r>
        <w:rPr>
          <w:rFonts w:ascii="Microsoft YaHei" w:hAnsi="Microsoft YaHei"/>
          <w:b/>
          <w:color w:val="1A1A1A"/>
        </w:rPr>
        <w:t>11.70</w:t>
      </w:r>
      <w:r>
        <w:rPr>
          <w:rFonts w:ascii="Microsoft YaHei" w:hAnsi="Microsoft YaHei"/>
        </w:rPr>
        <w:t xml:space="preserve">（前低）/ </w:t>
      </w:r>
      <w:r>
        <w:rPr>
          <w:rFonts w:ascii="Microsoft YaHei" w:hAnsi="Microsoft YaHei"/>
          <w:b/>
          <w:color w:val="1A1A1A"/>
        </w:rPr>
        <w:t>11.30</w:t>
      </w:r>
      <w:r>
        <w:rPr>
          <w:rFonts w:ascii="Microsoft YaHei" w:hAnsi="Microsoft YaHei"/>
        </w:rPr>
        <w:t xml:space="preserve">（布林下轨），压力位 </w:t>
      </w:r>
      <w:r>
        <w:rPr>
          <w:rFonts w:ascii="Microsoft YaHei" w:hAnsi="Microsoft YaHei"/>
          <w:b/>
          <w:color w:val="1A1A1A"/>
        </w:rPr>
        <w:t>12.26</w:t>
      </w:r>
      <w:r>
        <w:rPr>
          <w:rFonts w:ascii="Microsoft YaHei" w:hAnsi="Microsoft YaHei"/>
        </w:rPr>
        <w:t xml:space="preserve">（中轨）/ </w:t>
      </w:r>
      <w:r>
        <w:rPr>
          <w:rFonts w:ascii="Microsoft YaHei" w:hAnsi="Microsoft YaHei"/>
          <w:b/>
          <w:color w:val="1A1A1A"/>
        </w:rPr>
        <w:t>12.42</w:t>
      </w:r>
      <w:r>
        <w:rPr>
          <w:rFonts w:ascii="Microsoft YaHei" w:hAnsi="Microsoft YaHei"/>
        </w:rPr>
        <w:t>（MA5）。若能放量站稳12.26上方，则短期反弹空间打开。</w:t>
      </w:r>
    </w:p>
    <w:p>
      <w:pPr>
        <w:spacing w:before="240" w:after="240"/>
        <w:pBdr>
          <w:bottom w:val="single" w:sz="4" w:space="1" w:color="D0D7DE"/>
        </w:pBdr>
      </w:pPr>
    </w:p>
    <w:p>
      <w:r>
        <w:rPr>
          <w:rFonts w:ascii="Microsoft YaHei" w:hAnsi="Microsoft YaHei"/>
        </w:rPr>
        <w:t xml:space="preserve">&gt; ⚠️ </w:t>
      </w:r>
      <w:r>
        <w:rPr>
          <w:rFonts w:ascii="Microsoft YaHei" w:hAnsi="Microsoft YaHei"/>
          <w:b/>
          <w:color w:val="1A1A1A"/>
        </w:rPr>
        <w:t>免责声明</w:t>
      </w:r>
      <w:r>
        <w:rPr>
          <w:rFonts w:ascii="Microsoft YaHei" w:hAnsi="Microsoft YaHei"/>
        </w:rPr>
        <w:t>：以上分析基于当前公开数据，不构成投资建议。股市有风险，投资需谨慎。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隆基绿能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