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88" w:lineRule="auto"/>
        <w:pBdr>
          <w:bottom w:val="single" w:sz="4" w:space="4" w:color="D0D7DE"/>
        </w:pBdr>
      </w:pPr>
      <w:r>
        <w:rPr>
          <w:rFonts w:ascii="Microsoft YaHei" w:hAnsi="Microsoft YaHei"/>
          <w:b/>
          <w:color w:val="1A1A1A"/>
          <w:sz w:val="36"/>
        </w:rPr>
        <w:t>鞍钢股份（000898.SZ）午间分析报告</w:t>
      </w:r>
    </w:p>
    <w:p>
      <w:r>
        <w:rPr>
          <w:rFonts w:ascii="Microsoft YaHei" w:hAnsi="Microsoft YaHei"/>
          <w:b/>
          <w:color w:val="1A1A1A"/>
        </w:rPr>
        <w:t>数据截止时间：2026-07-28 11:30</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市场概况</w:t>
      </w:r>
    </w:p>
    <w:p>
      <w:r>
        <w:rPr>
          <w:rFonts w:ascii="Microsoft YaHei" w:hAnsi="Microsoft YaHei"/>
        </w:rPr>
        <w:t xml:space="preserve">今日全市场情绪偏中性，市场热度指数为 </w:t>
      </w:r>
      <w:r>
        <w:rPr>
          <w:rFonts w:ascii="Microsoft YaHei" w:hAnsi="Microsoft YaHei"/>
          <w:b/>
          <w:color w:val="1A1A1A"/>
        </w:rPr>
        <w:t>43（一般）</w:t>
      </w:r>
      <w:r>
        <w:rPr>
          <w:rFonts w:ascii="Microsoft YaHei" w:hAnsi="Microsoft YaHei"/>
        </w:rPr>
        <w:t xml:space="preserve">。上涨个股 </w:t>
      </w:r>
      <w:r>
        <w:rPr>
          <w:rFonts w:ascii="Microsoft YaHei" w:hAnsi="Microsoft YaHei"/>
          <w:b/>
          <w:color w:val="1A1A1A"/>
        </w:rPr>
        <w:t>2,603只</w:t>
      </w:r>
      <w:r>
        <w:rPr>
          <w:rFonts w:ascii="Microsoft YaHei" w:hAnsi="Microsoft YaHei"/>
        </w:rPr>
        <w:t xml:space="preserve">，下跌 </w:t>
      </w:r>
      <w:r>
        <w:rPr>
          <w:rFonts w:ascii="Microsoft YaHei" w:hAnsi="Microsoft YaHei"/>
          <w:b/>
          <w:color w:val="1A1A1A"/>
        </w:rPr>
        <w:t>2,769只</w:t>
      </w:r>
      <w:r>
        <w:rPr>
          <w:rFonts w:ascii="Microsoft YaHei" w:hAnsi="Microsoft YaHei"/>
        </w:rPr>
        <w:t xml:space="preserve">，涨跌家数接近均衡。涨停梯队方面，一板 </w:t>
      </w:r>
      <w:r>
        <w:rPr>
          <w:rFonts w:ascii="Microsoft YaHei" w:hAnsi="Microsoft YaHei"/>
          <w:b/>
          <w:color w:val="1A1A1A"/>
        </w:rPr>
        <w:t>45只</w:t>
      </w:r>
      <w:r>
        <w:rPr>
          <w:rFonts w:ascii="Microsoft YaHei" w:hAnsi="Microsoft YaHei"/>
        </w:rPr>
        <w:t xml:space="preserve">（晋级率13%），高度板仅 </w:t>
      </w:r>
      <w:r>
        <w:rPr>
          <w:rFonts w:ascii="Microsoft YaHei" w:hAnsi="Microsoft YaHei"/>
          <w:b/>
          <w:color w:val="1A1A1A"/>
        </w:rPr>
        <w:t>2只</w:t>
      </w:r>
      <w:r>
        <w:rPr>
          <w:rFonts w:ascii="Microsoft YaHei" w:hAnsi="Microsoft YaHei"/>
        </w:rPr>
        <w:t>，市场缺乏主攻方向。创业板指涨逾1%，但沪指微跌，指数分化明显。</w:t>
      </w:r>
    </w:p>
    <w:p>
      <w:r>
        <w:rPr>
          <w:rFonts w:ascii="Microsoft YaHei" w:hAnsi="Microsoft YaHei"/>
        </w:rPr>
        <w:t xml:space="preserve">鞍钢股份所属的 </w:t>
      </w:r>
      <w:r>
        <w:rPr>
          <w:rFonts w:ascii="Microsoft YaHei" w:hAnsi="Microsoft YaHei"/>
          <w:b/>
          <w:color w:val="1A1A1A"/>
        </w:rPr>
        <w:t>钢铁(A股)板块</w:t>
      </w:r>
      <w:r>
        <w:rPr>
          <w:rFonts w:ascii="Microsoft YaHei" w:hAnsi="Microsoft YaHei"/>
        </w:rPr>
        <w:t xml:space="preserve"> 今日表现相对稳健，板块整体 </w:t>
      </w:r>
      <w:r>
        <w:rPr>
          <w:rFonts w:ascii="Microsoft YaHei" w:hAnsi="Microsoft YaHei"/>
          <w:b/>
          <w:color w:val="1A1A1A"/>
        </w:rPr>
        <w:t>-0.68%</w:t>
      </w:r>
      <w:r>
        <w:rPr>
          <w:rFonts w:ascii="Microsoft YaHei" w:hAnsi="Microsoft YaHei"/>
        </w:rPr>
        <w:t xml:space="preserve">，排名 </w:t>
      </w:r>
      <w:r>
        <w:rPr>
          <w:rFonts w:ascii="Microsoft YaHei" w:hAnsi="Microsoft YaHei"/>
          <w:b/>
          <w:color w:val="1A1A1A"/>
        </w:rPr>
        <w:t>347/1158</w:t>
      </w:r>
      <w:r>
        <w:rPr>
          <w:rFonts w:ascii="Microsoft YaHei" w:hAnsi="Microsoft YaHei"/>
        </w:rPr>
        <w:t xml:space="preserve">，内部涨多跌少（涨23/跌21）。鞍钢股份在板块内排名 </w:t>
      </w:r>
      <w:r>
        <w:rPr>
          <w:rFonts w:ascii="Microsoft YaHei" w:hAnsi="Microsoft YaHei"/>
          <w:b/>
          <w:color w:val="1A1A1A"/>
        </w:rPr>
        <w:t>10/48</w:t>
      </w:r>
      <w:r>
        <w:rPr>
          <w:rFonts w:ascii="Microsoft YaHei" w:hAnsi="Microsoft YaHei"/>
        </w:rPr>
        <w:t xml:space="preserve">，处于中上游水平。板块领涨龙头为 </w:t>
      </w:r>
      <w:r>
        <w:rPr>
          <w:rFonts w:ascii="Microsoft YaHei" w:hAnsi="Microsoft YaHei"/>
          <w:b/>
          <w:color w:val="1A1A1A"/>
        </w:rPr>
        <w:t>杭钢股份（+10.07%）</w:t>
      </w:r>
      <w:r>
        <w:rPr>
          <w:rFonts w:ascii="Microsoft YaHei" w:hAnsi="Microsoft YaHei"/>
        </w:rPr>
        <w:t>，中信特钢（+3.51%）、马钢股份（+2.88%）紧随其后，板块内钢企普遍走强。</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个股分析</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指标</w:t>
            </w:r>
          </w:p>
        </w:tc>
        <w:tc>
          <w:tcPr>
            <w:tcW w:type="dxa" w:w="3022"/>
            <w:shd w:fill="F6F8FA" w:val="clear"/>
          </w:tcPr>
          <w:p>
            <w:pPr>
              <w:spacing w:before="40" w:after="40" w:line="288" w:lineRule="auto"/>
            </w:pPr>
            <w:r/>
            <w:r>
              <w:rPr>
                <w:rFonts w:ascii="Microsoft YaHei" w:hAnsi="Microsoft YaHei"/>
                <w:b/>
                <w:color w:val="1A1A1A"/>
                <w:sz w:val="18"/>
              </w:rPr>
              <w:t>数值</w:t>
            </w:r>
          </w:p>
        </w:tc>
        <w:tc>
          <w:tcPr>
            <w:tcW w:type="dxa" w:w="3022"/>
            <w:shd w:fill="F6F8FA" w:val="clear"/>
          </w:tcPr>
          <w:p>
            <w:pPr>
              <w:spacing w:before="40" w:after="40" w:line="288" w:lineRule="auto"/>
            </w:pPr>
            <w:r/>
            <w:r>
              <w:rPr>
                <w:rFonts w:ascii="Microsoft YaHei" w:hAnsi="Microsoft YaHei"/>
                <w:b/>
                <w:color w:val="1A1A1A"/>
                <w:sz w:val="18"/>
              </w:rPr>
              <w:t>变动/对比</w:t>
            </w:r>
          </w:p>
        </w:tc>
      </w:tr>
      <w:tr>
        <w:tc>
          <w:tcPr>
            <w:tcW w:type="dxa" w:w="3022"/>
          </w:tcPr>
          <w:p>
            <w:pPr>
              <w:spacing w:before="40" w:after="40" w:line="288" w:lineRule="auto"/>
            </w:pPr>
            <w:r/>
            <w:r>
              <w:rPr>
                <w:rFonts w:ascii="Microsoft YaHei" w:hAnsi="Microsoft YaHei"/>
                <w:sz w:val="18"/>
              </w:rPr>
              <w:t>当前价</w:t>
            </w:r>
          </w:p>
        </w:tc>
        <w:tc>
          <w:tcPr>
            <w:tcW w:type="dxa" w:w="3022"/>
          </w:tcPr>
          <w:p>
            <w:pPr>
              <w:spacing w:before="40" w:after="40" w:line="288" w:lineRule="auto"/>
            </w:pPr>
            <w:r/>
            <w:r>
              <w:rPr>
                <w:rFonts w:ascii="Microsoft YaHei" w:hAnsi="Microsoft YaHei"/>
                <w:b/>
                <w:color w:val="1A1A1A"/>
                <w:sz w:val="18"/>
              </w:rPr>
              <w:t>1.98 元</w:t>
            </w:r>
          </w:p>
        </w:tc>
        <w:tc>
          <w:tcPr>
            <w:tcW w:type="dxa" w:w="3022"/>
          </w:tcPr>
          <w:p>
            <w:pPr>
              <w:spacing w:before="40" w:after="40" w:line="288" w:lineRule="auto"/>
            </w:pPr>
            <w:r/>
            <w:r>
              <w:rPr>
                <w:rFonts w:ascii="Microsoft YaHei" w:hAnsi="Microsoft YaHei"/>
                <w:sz w:val="18"/>
              </w:rPr>
              <w:t>较昨收 +</w:t>
            </w:r>
            <w:r>
              <w:rPr>
                <w:rFonts w:ascii="Microsoft YaHei" w:hAnsi="Microsoft YaHei"/>
                <w:b/>
                <w:color w:val="1A1A1A"/>
                <w:sz w:val="18"/>
              </w:rPr>
              <w:t>2.06%</w:t>
            </w:r>
          </w:p>
        </w:tc>
      </w:tr>
      <w:tr>
        <w:tc>
          <w:tcPr>
            <w:tcW w:type="dxa" w:w="3022"/>
            <w:shd w:fill="F8F9FA" w:val="clear"/>
          </w:tcPr>
          <w:p>
            <w:pPr>
              <w:spacing w:before="40" w:after="40" w:line="288" w:lineRule="auto"/>
            </w:pPr>
            <w:r/>
            <w:r>
              <w:rPr>
                <w:rFonts w:ascii="Microsoft YaHei" w:hAnsi="Microsoft YaHei"/>
                <w:sz w:val="18"/>
              </w:rPr>
              <w:t>开盘/最高/最低</w:t>
            </w:r>
          </w:p>
        </w:tc>
        <w:tc>
          <w:tcPr>
            <w:tcW w:type="dxa" w:w="3022"/>
            <w:shd w:fill="F8F9FA" w:val="clear"/>
          </w:tcPr>
          <w:p>
            <w:pPr>
              <w:spacing w:before="40" w:after="40" w:line="288" w:lineRule="auto"/>
            </w:pPr>
            <w:r/>
            <w:r>
              <w:rPr>
                <w:rFonts w:ascii="Microsoft YaHei" w:hAnsi="Microsoft YaHei"/>
                <w:sz w:val="18"/>
              </w:rPr>
              <w:t>1.93 / 1.99 / 1.92</w:t>
            </w:r>
          </w:p>
        </w:tc>
        <w:tc>
          <w:tcPr>
            <w:tcW w:type="dxa" w:w="3022"/>
            <w:shd w:fill="F8F9FA" w:val="clear"/>
          </w:tcPr>
          <w:p>
            <w:pPr>
              <w:spacing w:before="40" w:after="40" w:line="288" w:lineRule="auto"/>
            </w:pPr>
            <w:r/>
            <w:r>
              <w:rPr>
                <w:rFonts w:ascii="Microsoft YaHei" w:hAnsi="Microsoft YaHei"/>
                <w:sz w:val="18"/>
              </w:rPr>
              <w:t xml:space="preserve">振幅 </w:t>
            </w:r>
            <w:r>
              <w:rPr>
                <w:rFonts w:ascii="Microsoft YaHei" w:hAnsi="Microsoft YaHei"/>
                <w:b/>
                <w:color w:val="1A1A1A"/>
                <w:sz w:val="18"/>
              </w:rPr>
              <w:t>3.61%</w:t>
            </w:r>
          </w:p>
        </w:tc>
      </w:tr>
      <w:tr>
        <w:tc>
          <w:tcPr>
            <w:tcW w:type="dxa" w:w="3022"/>
          </w:tcPr>
          <w:p>
            <w:pPr>
              <w:spacing w:before="40" w:after="40" w:line="288" w:lineRule="auto"/>
            </w:pPr>
            <w:r/>
            <w:r>
              <w:rPr>
                <w:rFonts w:ascii="Microsoft YaHei" w:hAnsi="Microsoft YaHei"/>
                <w:sz w:val="18"/>
              </w:rPr>
              <w:t>成交量</w:t>
            </w:r>
          </w:p>
        </w:tc>
        <w:tc>
          <w:tcPr>
            <w:tcW w:type="dxa" w:w="3022"/>
          </w:tcPr>
          <w:p>
            <w:pPr>
              <w:spacing w:before="40" w:after="40" w:line="288" w:lineRule="auto"/>
            </w:pPr>
            <w:r/>
            <w:r>
              <w:rPr>
                <w:rFonts w:ascii="Microsoft YaHei" w:hAnsi="Microsoft YaHei"/>
                <w:b/>
                <w:color w:val="1A1A1A"/>
                <w:sz w:val="18"/>
              </w:rPr>
              <w:t>514,708 手</w:t>
            </w:r>
          </w:p>
        </w:tc>
        <w:tc>
          <w:tcPr>
            <w:tcW w:type="dxa" w:w="3022"/>
          </w:tcPr>
          <w:p>
            <w:pPr>
              <w:spacing w:before="40" w:after="40" w:line="288" w:lineRule="auto"/>
            </w:pPr>
            <w:r/>
            <w:r>
              <w:rPr>
                <w:rFonts w:ascii="Microsoft YaHei" w:hAnsi="Microsoft YaHei"/>
                <w:sz w:val="18"/>
              </w:rPr>
              <w:t xml:space="preserve">量比 </w:t>
            </w:r>
            <w:r>
              <w:rPr>
                <w:rFonts w:ascii="Microsoft YaHei" w:hAnsi="Microsoft YaHei"/>
                <w:b/>
                <w:color w:val="1A1A1A"/>
                <w:sz w:val="18"/>
              </w:rPr>
              <w:t>1.26</w:t>
            </w:r>
            <w:r>
              <w:rPr>
                <w:rFonts w:ascii="Microsoft YaHei" w:hAnsi="Microsoft YaHei"/>
                <w:sz w:val="18"/>
              </w:rPr>
              <w:t>（放量）</w:t>
            </w:r>
          </w:p>
        </w:tc>
      </w:tr>
      <w:tr>
        <w:tc>
          <w:tcPr>
            <w:tcW w:type="dxa" w:w="3022"/>
            <w:shd w:fill="F8F9FA" w:val="clear"/>
          </w:tcPr>
          <w:p>
            <w:pPr>
              <w:spacing w:before="40" w:after="40" w:line="288" w:lineRule="auto"/>
            </w:pPr>
            <w:r/>
            <w:r>
              <w:rPr>
                <w:rFonts w:ascii="Microsoft YaHei" w:hAnsi="Microsoft YaHei"/>
                <w:sz w:val="18"/>
              </w:rPr>
              <w:t>成交额</w:t>
            </w:r>
          </w:p>
        </w:tc>
        <w:tc>
          <w:tcPr>
            <w:tcW w:type="dxa" w:w="3022"/>
            <w:shd w:fill="F8F9FA" w:val="clear"/>
          </w:tcPr>
          <w:p>
            <w:pPr>
              <w:spacing w:before="40" w:after="40" w:line="288" w:lineRule="auto"/>
            </w:pPr>
            <w:r/>
            <w:r>
              <w:rPr>
                <w:rFonts w:ascii="Microsoft YaHei" w:hAnsi="Microsoft YaHei"/>
                <w:b/>
                <w:color w:val="1A1A1A"/>
                <w:sz w:val="18"/>
              </w:rPr>
              <w:t>10,108 万元</w:t>
            </w:r>
          </w:p>
        </w:tc>
        <w:tc>
          <w:tcPr>
            <w:tcW w:type="dxa" w:w="3022"/>
            <w:shd w:fill="F8F9FA" w:val="clear"/>
          </w:tcPr>
          <w:p>
            <w:pPr>
              <w:spacing w:before="40" w:after="40" w:line="288" w:lineRule="auto"/>
            </w:pPr>
            <w:r/>
            <w:r>
              <w:rPr>
                <w:rFonts w:ascii="Microsoft YaHei" w:hAnsi="Microsoft YaHei"/>
                <w:sz w:val="18"/>
              </w:rPr>
              <w:t>半日已超昨日全日 7,513 万元</w:t>
            </w:r>
          </w:p>
        </w:tc>
      </w:tr>
      <w:tr>
        <w:tc>
          <w:tcPr>
            <w:tcW w:type="dxa" w:w="3022"/>
          </w:tcPr>
          <w:p>
            <w:pPr>
              <w:spacing w:before="40" w:after="40" w:line="288" w:lineRule="auto"/>
            </w:pPr>
            <w:r/>
            <w:r>
              <w:rPr>
                <w:rFonts w:ascii="Microsoft YaHei" w:hAnsi="Microsoft YaHei"/>
                <w:sz w:val="18"/>
              </w:rPr>
              <w:t>换手率</w:t>
            </w:r>
          </w:p>
        </w:tc>
        <w:tc>
          <w:tcPr>
            <w:tcW w:type="dxa" w:w="3022"/>
          </w:tcPr>
          <w:p>
            <w:pPr>
              <w:spacing w:before="40" w:after="40" w:line="288" w:lineRule="auto"/>
            </w:pPr>
            <w:r/>
            <w:r>
              <w:rPr>
                <w:rFonts w:ascii="Microsoft YaHei" w:hAnsi="Microsoft YaHei"/>
                <w:b/>
                <w:color w:val="1A1A1A"/>
                <w:sz w:val="18"/>
              </w:rPr>
              <w:t>0.65%</w:t>
            </w:r>
          </w:p>
        </w:tc>
        <w:tc>
          <w:tcPr>
            <w:tcW w:type="dxa" w:w="3022"/>
          </w:tcPr>
          <w:p>
            <w:pPr>
              <w:spacing w:before="40" w:after="40" w:line="288" w:lineRule="auto"/>
            </w:pPr>
            <w:r/>
            <w:r>
              <w:rPr>
                <w:rFonts w:ascii="Microsoft YaHei" w:hAnsi="Microsoft YaHei"/>
                <w:sz w:val="18"/>
              </w:rPr>
              <w:t xml:space="preserve">较昨日 0.42% 放量 </w:t>
            </w:r>
            <w:r>
              <w:rPr>
                <w:rFonts w:ascii="Microsoft YaHei" w:hAnsi="Microsoft YaHei"/>
                <w:b/>
                <w:color w:val="1A1A1A"/>
                <w:sz w:val="18"/>
              </w:rPr>
              <w:t>1.54倍</w:t>
            </w:r>
          </w:p>
        </w:tc>
      </w:tr>
      <w:tr>
        <w:tc>
          <w:tcPr>
            <w:tcW w:type="dxa" w:w="3022"/>
            <w:shd w:fill="F8F9FA" w:val="clear"/>
          </w:tcPr>
          <w:p>
            <w:pPr>
              <w:spacing w:before="40" w:after="40" w:line="288" w:lineRule="auto"/>
            </w:pPr>
            <w:r/>
            <w:r>
              <w:rPr>
                <w:rFonts w:ascii="Microsoft YaHei" w:hAnsi="Microsoft YaHei"/>
                <w:sz w:val="18"/>
              </w:rPr>
              <w:t>动态市盈率</w:t>
            </w:r>
          </w:p>
        </w:tc>
        <w:tc>
          <w:tcPr>
            <w:tcW w:type="dxa" w:w="3022"/>
            <w:shd w:fill="F8F9FA" w:val="clear"/>
          </w:tcPr>
          <w:p>
            <w:pPr>
              <w:spacing w:before="40" w:after="40" w:line="288" w:lineRule="auto"/>
            </w:pPr>
            <w:r/>
            <w:r>
              <w:rPr>
                <w:rFonts w:ascii="Microsoft YaHei" w:hAnsi="Microsoft YaHei"/>
                <w:b/>
                <w:color w:val="1A1A1A"/>
                <w:sz w:val="18"/>
              </w:rPr>
              <w:t>-3.18</w:t>
            </w:r>
          </w:p>
        </w:tc>
        <w:tc>
          <w:tcPr>
            <w:tcW w:type="dxa" w:w="3022"/>
            <w:shd w:fill="F8F9FA" w:val="clear"/>
          </w:tcPr>
          <w:p>
            <w:pPr>
              <w:spacing w:before="40" w:after="40" w:line="288" w:lineRule="auto"/>
            </w:pPr>
            <w:r/>
            <w:r>
              <w:rPr>
                <w:rFonts w:ascii="Microsoft YaHei" w:hAnsi="Microsoft YaHei"/>
                <w:sz w:val="18"/>
              </w:rPr>
              <w:t>一季度亏损所致</w:t>
            </w:r>
          </w:p>
        </w:tc>
      </w:tr>
      <w:tr>
        <w:tc>
          <w:tcPr>
            <w:tcW w:type="dxa" w:w="3022"/>
          </w:tcPr>
          <w:p>
            <w:pPr>
              <w:spacing w:before="40" w:after="40" w:line="288" w:lineRule="auto"/>
            </w:pPr>
            <w:r/>
            <w:r>
              <w:rPr>
                <w:rFonts w:ascii="Microsoft YaHei" w:hAnsi="Microsoft YaHei"/>
                <w:sz w:val="18"/>
              </w:rPr>
              <w:t>市净率</w:t>
            </w:r>
          </w:p>
        </w:tc>
        <w:tc>
          <w:tcPr>
            <w:tcW w:type="dxa" w:w="3022"/>
          </w:tcPr>
          <w:p>
            <w:pPr>
              <w:spacing w:before="40" w:after="40" w:line="288" w:lineRule="auto"/>
            </w:pPr>
            <w:r/>
            <w:r>
              <w:rPr>
                <w:rFonts w:ascii="Microsoft YaHei" w:hAnsi="Microsoft YaHei"/>
                <w:b/>
                <w:color w:val="1A1A1A"/>
                <w:sz w:val="18"/>
              </w:rPr>
              <w:t>0.44</w:t>
            </w:r>
          </w:p>
        </w:tc>
        <w:tc>
          <w:tcPr>
            <w:tcW w:type="dxa" w:w="3022"/>
          </w:tcPr>
          <w:p>
            <w:pPr>
              <w:spacing w:before="40" w:after="40" w:line="288" w:lineRule="auto"/>
            </w:pPr>
            <w:r/>
            <w:r>
              <w:rPr>
                <w:rFonts w:ascii="Microsoft YaHei" w:hAnsi="Microsoft YaHei"/>
                <w:sz w:val="18"/>
              </w:rPr>
              <w:t>深度破净</w:t>
            </w:r>
          </w:p>
        </w:tc>
      </w:tr>
      <w:tr>
        <w:tc>
          <w:tcPr>
            <w:tcW w:type="dxa" w:w="3022"/>
            <w:shd w:fill="F8F9FA" w:val="clear"/>
          </w:tcPr>
          <w:p>
            <w:pPr>
              <w:spacing w:before="40" w:after="40" w:line="288" w:lineRule="auto"/>
            </w:pPr>
            <w:r/>
            <w:r>
              <w:rPr>
                <w:rFonts w:ascii="Microsoft YaHei" w:hAnsi="Microsoft YaHei"/>
                <w:sz w:val="18"/>
              </w:rPr>
              <w:t>总市值</w:t>
            </w:r>
          </w:p>
        </w:tc>
        <w:tc>
          <w:tcPr>
            <w:tcW w:type="dxa" w:w="3022"/>
            <w:shd w:fill="F8F9FA" w:val="clear"/>
          </w:tcPr>
          <w:p>
            <w:pPr>
              <w:spacing w:before="40" w:after="40" w:line="288" w:lineRule="auto"/>
            </w:pPr>
            <w:r/>
            <w:r>
              <w:rPr>
                <w:rFonts w:ascii="Microsoft YaHei" w:hAnsi="Microsoft YaHei"/>
                <w:b/>
                <w:color w:val="1A1A1A"/>
                <w:sz w:val="18"/>
              </w:rPr>
              <w:t>185.51 亿元</w:t>
            </w:r>
          </w:p>
        </w:tc>
        <w:tc>
          <w:tcPr>
            <w:tcW w:type="dxa" w:w="3022"/>
            <w:shd w:fill="F8F9FA" w:val="clear"/>
          </w:tcPr>
          <w:p>
            <w:pPr>
              <w:spacing w:before="40" w:after="40" w:line="288" w:lineRule="auto"/>
            </w:pPr>
            <w:r/>
            <w:r>
              <w:rPr>
                <w:rFonts w:ascii="Microsoft YaHei" w:hAnsi="Microsoft YaHei"/>
                <w:sz w:val="18"/>
              </w:rPr>
              <w:t>流通市值 157.56 亿元</w:t>
            </w:r>
          </w:p>
        </w:tc>
      </w:tr>
    </w:tbl>
    <w:p/>
    <w:p>
      <w:r>
        <w:rPr>
          <w:rFonts w:ascii="Microsoft YaHei" w:hAnsi="Microsoft YaHei"/>
          <w:b/>
          <w:color w:val="1A1A1A"/>
        </w:rPr>
        <w:t>量价关系方面</w:t>
      </w:r>
      <w:r>
        <w:rPr>
          <w:rFonts w:ascii="Microsoft YaHei" w:hAnsi="Microsoft YaHei"/>
        </w:rPr>
        <w:t xml:space="preserve">，今日半日成交额已突破 </w:t>
      </w:r>
      <w:r>
        <w:rPr>
          <w:rFonts w:ascii="Microsoft YaHei" w:hAnsi="Microsoft YaHei"/>
          <w:b/>
          <w:color w:val="1A1A1A"/>
        </w:rPr>
        <w:t>1亿元</w:t>
      </w:r>
      <w:r>
        <w:rPr>
          <w:rFonts w:ascii="Microsoft YaHei" w:hAnsi="Microsoft YaHei"/>
        </w:rPr>
        <w:t xml:space="preserve">，超昨日全日水平，量比 </w:t>
      </w:r>
      <w:r>
        <w:rPr>
          <w:rFonts w:ascii="Microsoft YaHei" w:hAnsi="Microsoft YaHei"/>
          <w:b/>
          <w:color w:val="1A1A1A"/>
        </w:rPr>
        <w:t>1.26</w:t>
      </w:r>
      <w:r>
        <w:rPr>
          <w:rFonts w:ascii="Microsoft YaHei" w:hAnsi="Microsoft YaHei"/>
        </w:rPr>
        <w:t xml:space="preserve"> 显示明显放量。外盘 </w:t>
      </w:r>
      <w:r>
        <w:rPr>
          <w:rFonts w:ascii="Microsoft YaHei" w:hAnsi="Microsoft YaHei"/>
          <w:b/>
          <w:color w:val="1A1A1A"/>
        </w:rPr>
        <w:t>297,430手</w:t>
      </w:r>
      <w:r>
        <w:rPr>
          <w:rFonts w:ascii="Microsoft YaHei" w:hAnsi="Microsoft YaHei"/>
        </w:rPr>
        <w:t xml:space="preserve"> 显著大于内盘 </w:t>
      </w:r>
      <w:r>
        <w:rPr>
          <w:rFonts w:ascii="Microsoft YaHei" w:hAnsi="Microsoft YaHei"/>
          <w:b/>
          <w:color w:val="1A1A1A"/>
        </w:rPr>
        <w:t>217,278手</w:t>
      </w:r>
      <w:r>
        <w:rPr>
          <w:rFonts w:ascii="Microsoft YaHei" w:hAnsi="Microsoft YaHei"/>
        </w:rPr>
        <w:t xml:space="preserve">（约 </w:t>
      </w:r>
      <w:r>
        <w:rPr>
          <w:rFonts w:ascii="Microsoft YaHei" w:hAnsi="Microsoft YaHei"/>
          <w:b/>
          <w:color w:val="1A1A1A"/>
        </w:rPr>
        <w:t>1.37倍</w:t>
      </w:r>
      <w:r>
        <w:rPr>
          <w:rFonts w:ascii="Microsoft YaHei" w:hAnsi="Microsoft YaHei"/>
        </w:rPr>
        <w:t>），主动买盘占优，日内多头力量占据主导。</w:t>
      </w:r>
    </w:p>
    <w:p>
      <w:r>
        <w:rPr>
          <w:rFonts w:ascii="Microsoft YaHei" w:hAnsi="Microsoft YaHei"/>
          <w:b/>
          <w:color w:val="1A1A1A"/>
        </w:rPr>
        <w:t>估值层面</w:t>
      </w:r>
      <w:r>
        <w:rPr>
          <w:rFonts w:ascii="Microsoft YaHei" w:hAnsi="Microsoft YaHei"/>
        </w:rPr>
        <w:t xml:space="preserve">，PB仅 </w:t>
      </w:r>
      <w:r>
        <w:rPr>
          <w:rFonts w:ascii="Microsoft YaHei" w:hAnsi="Microsoft YaHei"/>
          <w:b/>
          <w:color w:val="1A1A1A"/>
        </w:rPr>
        <w:t>0.44倍</w:t>
      </w:r>
      <w:r>
        <w:rPr>
          <w:rFonts w:ascii="Microsoft YaHei" w:hAnsi="Microsoft YaHei"/>
        </w:rPr>
        <w:t>，处于深度破净状态，反映市场对钢铁行业资产盈利能力的高度悲观预期。但同时也为长线价值投资者提供了较高的安全边际。</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资金面</w:t>
      </w:r>
    </w:p>
    <w:p>
      <w:pPr>
        <w:spacing w:before="280" w:after="80" w:line="312" w:lineRule="auto"/>
      </w:pPr>
      <w:r>
        <w:rPr>
          <w:rFonts w:ascii="Microsoft YaHei" w:hAnsi="Microsoft YaHei"/>
          <w:b/>
          <w:color w:val="333333"/>
          <w:sz w:val="24"/>
        </w:rPr>
        <w:t>今日盘中资金流向</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数值</w:t>
            </w:r>
          </w:p>
        </w:tc>
      </w:tr>
      <w:tr>
        <w:tc>
          <w:tcPr>
            <w:tcW w:type="dxa" w:w="4533"/>
          </w:tcPr>
          <w:p>
            <w:pPr>
              <w:spacing w:before="40" w:after="40" w:line="288" w:lineRule="auto"/>
            </w:pPr>
            <w:r/>
            <w:r>
              <w:rPr>
                <w:rFonts w:ascii="Microsoft YaHei" w:hAnsi="Microsoft YaHei"/>
                <w:sz w:val="18"/>
              </w:rPr>
              <w:t>净流向</w:t>
            </w:r>
          </w:p>
        </w:tc>
        <w:tc>
          <w:tcPr>
            <w:tcW w:type="dxa" w:w="4533"/>
          </w:tcPr>
          <w:p>
            <w:pPr>
              <w:spacing w:before="40" w:after="40" w:line="288" w:lineRule="auto"/>
            </w:pPr>
            <w:r/>
            <w:r>
              <w:rPr>
                <w:rFonts w:ascii="Microsoft YaHei" w:hAnsi="Microsoft YaHei"/>
                <w:b/>
                <w:color w:val="1A1A1A"/>
                <w:sz w:val="18"/>
              </w:rPr>
              <w:t>净流出 127.77 万元</w:t>
            </w:r>
          </w:p>
        </w:tc>
      </w:tr>
      <w:tr>
        <w:tc>
          <w:tcPr>
            <w:tcW w:type="dxa" w:w="4533"/>
            <w:shd w:fill="F8F9FA" w:val="clear"/>
          </w:tcPr>
          <w:p>
            <w:pPr>
              <w:spacing w:before="40" w:after="40" w:line="288" w:lineRule="auto"/>
            </w:pPr>
            <w:r/>
            <w:r>
              <w:rPr>
                <w:rFonts w:ascii="Microsoft YaHei" w:hAnsi="Microsoft YaHei"/>
                <w:sz w:val="18"/>
              </w:rPr>
              <w:t>资金流入分钟数</w:t>
            </w:r>
          </w:p>
        </w:tc>
        <w:tc>
          <w:tcPr>
            <w:tcW w:type="dxa" w:w="4533"/>
            <w:shd w:fill="F8F9FA" w:val="clear"/>
          </w:tcPr>
          <w:p>
            <w:pPr>
              <w:spacing w:before="40" w:after="40" w:line="288" w:lineRule="auto"/>
            </w:pPr>
            <w:r/>
            <w:r>
              <w:rPr>
                <w:rFonts w:ascii="Microsoft YaHei" w:hAnsi="Microsoft YaHei"/>
                <w:sz w:val="18"/>
              </w:rPr>
              <w:t>121 分钟</w:t>
            </w:r>
          </w:p>
        </w:tc>
      </w:tr>
      <w:tr>
        <w:tc>
          <w:tcPr>
            <w:tcW w:type="dxa" w:w="4533"/>
          </w:tcPr>
          <w:p>
            <w:pPr>
              <w:spacing w:before="40" w:after="40" w:line="288" w:lineRule="auto"/>
            </w:pPr>
            <w:r/>
            <w:r>
              <w:rPr>
                <w:rFonts w:ascii="Microsoft YaHei" w:hAnsi="Microsoft YaHei"/>
                <w:sz w:val="18"/>
              </w:rPr>
              <w:t>资金流出分钟数</w:t>
            </w:r>
          </w:p>
        </w:tc>
        <w:tc>
          <w:tcPr>
            <w:tcW w:type="dxa" w:w="4533"/>
          </w:tcPr>
          <w:p>
            <w:pPr>
              <w:spacing w:before="40" w:after="40" w:line="288" w:lineRule="auto"/>
            </w:pPr>
            <w:r/>
            <w:r>
              <w:rPr>
                <w:rFonts w:ascii="Microsoft YaHei" w:hAnsi="Microsoft YaHei"/>
                <w:sz w:val="18"/>
              </w:rPr>
              <w:t>117 分钟</w:t>
            </w:r>
          </w:p>
        </w:tc>
      </w:tr>
      <w:tr>
        <w:tc>
          <w:tcPr>
            <w:tcW w:type="dxa" w:w="4533"/>
            <w:shd w:fill="F8F9FA" w:val="clear"/>
          </w:tcPr>
          <w:p>
            <w:pPr>
              <w:spacing w:before="40" w:after="40" w:line="288" w:lineRule="auto"/>
            </w:pPr>
            <w:r/>
            <w:r>
              <w:rPr>
                <w:rFonts w:ascii="Microsoft YaHei" w:hAnsi="Microsoft YaHei"/>
                <w:sz w:val="18"/>
              </w:rPr>
              <w:t>最大单分钟流入</w:t>
            </w:r>
          </w:p>
        </w:tc>
        <w:tc>
          <w:tcPr>
            <w:tcW w:type="dxa" w:w="4533"/>
            <w:shd w:fill="F8F9FA" w:val="clear"/>
          </w:tcPr>
          <w:p>
            <w:pPr>
              <w:spacing w:before="40" w:after="40" w:line="288" w:lineRule="auto"/>
            </w:pPr>
            <w:r/>
            <w:r>
              <w:rPr>
                <w:rFonts w:ascii="Microsoft YaHei" w:hAnsi="Microsoft YaHei"/>
                <w:sz w:val="18"/>
              </w:rPr>
              <w:t>238.5 万元</w:t>
            </w:r>
          </w:p>
        </w:tc>
      </w:tr>
      <w:tr>
        <w:tc>
          <w:tcPr>
            <w:tcW w:type="dxa" w:w="4533"/>
          </w:tcPr>
          <w:p>
            <w:pPr>
              <w:spacing w:before="40" w:after="40" w:line="288" w:lineRule="auto"/>
            </w:pPr>
            <w:r/>
            <w:r>
              <w:rPr>
                <w:rFonts w:ascii="Microsoft YaHei" w:hAnsi="Microsoft YaHei"/>
                <w:sz w:val="18"/>
              </w:rPr>
              <w:t>最大单分钟流出</w:t>
            </w:r>
          </w:p>
        </w:tc>
        <w:tc>
          <w:tcPr>
            <w:tcW w:type="dxa" w:w="4533"/>
          </w:tcPr>
          <w:p>
            <w:pPr>
              <w:spacing w:before="40" w:after="40" w:line="288" w:lineRule="auto"/>
            </w:pPr>
            <w:r/>
            <w:r>
              <w:rPr>
                <w:rFonts w:ascii="Microsoft YaHei" w:hAnsi="Microsoft YaHei"/>
                <w:sz w:val="18"/>
              </w:rPr>
              <w:t>322.1 万元</w:t>
            </w:r>
          </w:p>
        </w:tc>
      </w:tr>
    </w:tbl>
    <w:p/>
    <w:p>
      <w:r>
        <w:rPr>
          <w:rFonts w:ascii="Microsoft YaHei" w:hAnsi="Microsoft YaHei"/>
        </w:rPr>
        <w:t xml:space="preserve">尽管股价上涨 </w:t>
      </w:r>
      <w:r>
        <w:rPr>
          <w:rFonts w:ascii="Microsoft YaHei" w:hAnsi="Microsoft YaHei"/>
          <w:b/>
          <w:color w:val="1A1A1A"/>
        </w:rPr>
        <w:t>2.06%</w:t>
      </w:r>
      <w:r>
        <w:rPr>
          <w:rFonts w:ascii="Microsoft YaHei" w:hAnsi="Microsoft YaHei"/>
        </w:rPr>
        <w:t xml:space="preserve">，但盘中资金呈现 </w:t>
      </w:r>
      <w:r>
        <w:rPr>
          <w:rFonts w:ascii="Microsoft YaHei" w:hAnsi="Microsoft YaHei"/>
          <w:b/>
          <w:color w:val="1A1A1A"/>
        </w:rPr>
        <w:t>小幅净流出</w:t>
      </w:r>
      <w:r>
        <w:rPr>
          <w:rFonts w:ascii="Microsoft YaHei" w:hAnsi="Microsoft YaHei"/>
        </w:rPr>
        <w:t>，说明上涨过程中短线获利盘兑现意愿存在，日内资金面与股价走势存在一定背离。</w:t>
      </w:r>
    </w:p>
    <w:p>
      <w:pPr>
        <w:spacing w:before="280" w:after="80" w:line="312" w:lineRule="auto"/>
      </w:pPr>
      <w:r>
        <w:rPr>
          <w:rFonts w:ascii="Microsoft YaHei" w:hAnsi="Microsoft YaHei"/>
          <w:b/>
          <w:color w:val="333333"/>
          <w:sz w:val="24"/>
        </w:rPr>
        <w:t>昨日资金细分结构</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类型</w:t>
            </w:r>
          </w:p>
        </w:tc>
        <w:tc>
          <w:tcPr>
            <w:tcW w:type="dxa" w:w="3022"/>
            <w:shd w:fill="F6F8FA" w:val="clear"/>
          </w:tcPr>
          <w:p>
            <w:pPr>
              <w:spacing w:before="40" w:after="40" w:line="288" w:lineRule="auto"/>
            </w:pPr>
            <w:r/>
            <w:r>
              <w:rPr>
                <w:rFonts w:ascii="Microsoft YaHei" w:hAnsi="Microsoft YaHei"/>
                <w:b/>
                <w:color w:val="1A1A1A"/>
                <w:sz w:val="18"/>
              </w:rPr>
              <w:t>净额（元）</w:t>
            </w:r>
          </w:p>
        </w:tc>
        <w:tc>
          <w:tcPr>
            <w:tcW w:type="dxa" w:w="3022"/>
            <w:shd w:fill="F6F8FA" w:val="clear"/>
          </w:tcPr>
          <w:p>
            <w:pPr>
              <w:spacing w:before="40" w:after="40" w:line="288" w:lineRule="auto"/>
            </w:pPr>
            <w:r/>
            <w:r>
              <w:rPr>
                <w:rFonts w:ascii="Microsoft YaHei" w:hAnsi="Microsoft YaHei"/>
                <w:b/>
                <w:color w:val="1A1A1A"/>
                <w:sz w:val="18"/>
              </w:rPr>
              <w:t>方向</w:t>
            </w:r>
          </w:p>
        </w:tc>
      </w:tr>
      <w:tr>
        <w:tc>
          <w:tcPr>
            <w:tcW w:type="dxa" w:w="3022"/>
          </w:tcPr>
          <w:p>
            <w:pPr>
              <w:spacing w:before="40" w:after="40" w:line="288" w:lineRule="auto"/>
            </w:pPr>
            <w:r/>
            <w:r>
              <w:rPr>
                <w:rFonts w:ascii="Microsoft YaHei" w:hAnsi="Microsoft YaHei"/>
                <w:sz w:val="18"/>
              </w:rPr>
              <w:t>大单</w:t>
            </w:r>
          </w:p>
        </w:tc>
        <w:tc>
          <w:tcPr>
            <w:tcW w:type="dxa" w:w="3022"/>
          </w:tcPr>
          <w:p>
            <w:pPr>
              <w:spacing w:before="40" w:after="40" w:line="288" w:lineRule="auto"/>
            </w:pPr>
            <w:r/>
            <w:r>
              <w:rPr>
                <w:rFonts w:ascii="Microsoft YaHei" w:hAnsi="Microsoft YaHei"/>
                <w:b/>
                <w:color w:val="1A1A1A"/>
                <w:sz w:val="18"/>
              </w:rPr>
              <w:t>-100.62 万</w:t>
            </w:r>
          </w:p>
        </w:tc>
        <w:tc>
          <w:tcPr>
            <w:tcW w:type="dxa" w:w="3022"/>
          </w:tcPr>
          <w:p>
            <w:pPr>
              <w:spacing w:before="40" w:after="40" w:line="288" w:lineRule="auto"/>
            </w:pPr>
            <w:r/>
            <w:r>
              <w:rPr>
                <w:rFonts w:ascii="Microsoft YaHei" w:hAnsi="Microsoft YaHei"/>
                <w:sz w:val="18"/>
              </w:rPr>
              <w:t>净流出</w:t>
            </w:r>
          </w:p>
        </w:tc>
      </w:tr>
      <w:tr>
        <w:tc>
          <w:tcPr>
            <w:tcW w:type="dxa" w:w="3022"/>
            <w:shd w:fill="F8F9FA" w:val="clear"/>
          </w:tcPr>
          <w:p>
            <w:pPr>
              <w:spacing w:before="40" w:after="40" w:line="288" w:lineRule="auto"/>
            </w:pPr>
            <w:r/>
            <w:r>
              <w:rPr>
                <w:rFonts w:ascii="Microsoft YaHei" w:hAnsi="Microsoft YaHei"/>
                <w:sz w:val="18"/>
              </w:rPr>
              <w:t>中单</w:t>
            </w:r>
          </w:p>
        </w:tc>
        <w:tc>
          <w:tcPr>
            <w:tcW w:type="dxa" w:w="3022"/>
            <w:shd w:fill="F8F9FA" w:val="clear"/>
          </w:tcPr>
          <w:p>
            <w:pPr>
              <w:spacing w:before="40" w:after="40" w:line="288" w:lineRule="auto"/>
            </w:pPr>
            <w:r/>
            <w:r>
              <w:rPr>
                <w:rFonts w:ascii="Microsoft YaHei" w:hAnsi="Microsoft YaHei"/>
                <w:b/>
                <w:color w:val="1A1A1A"/>
                <w:sz w:val="18"/>
              </w:rPr>
              <w:t>+160.55 万</w:t>
            </w:r>
          </w:p>
        </w:tc>
        <w:tc>
          <w:tcPr>
            <w:tcW w:type="dxa" w:w="3022"/>
            <w:shd w:fill="F8F9FA" w:val="clear"/>
          </w:tcPr>
          <w:p>
            <w:pPr>
              <w:spacing w:before="40" w:after="40" w:line="288" w:lineRule="auto"/>
            </w:pPr>
            <w:r/>
            <w:r>
              <w:rPr>
                <w:rFonts w:ascii="Microsoft YaHei" w:hAnsi="Microsoft YaHei"/>
                <w:sz w:val="18"/>
              </w:rPr>
              <w:t>净流入</w:t>
            </w:r>
          </w:p>
        </w:tc>
      </w:tr>
      <w:tr>
        <w:tc>
          <w:tcPr>
            <w:tcW w:type="dxa" w:w="3022"/>
          </w:tcPr>
          <w:p>
            <w:pPr>
              <w:spacing w:before="40" w:after="40" w:line="288" w:lineRule="auto"/>
            </w:pPr>
            <w:r/>
            <w:r>
              <w:rPr>
                <w:rFonts w:ascii="Microsoft YaHei" w:hAnsi="Microsoft YaHei"/>
                <w:sz w:val="18"/>
              </w:rPr>
              <w:t>小单</w:t>
            </w:r>
          </w:p>
        </w:tc>
        <w:tc>
          <w:tcPr>
            <w:tcW w:type="dxa" w:w="3022"/>
          </w:tcPr>
          <w:p>
            <w:pPr>
              <w:spacing w:before="40" w:after="40" w:line="288" w:lineRule="auto"/>
            </w:pPr>
            <w:r/>
            <w:r>
              <w:rPr>
                <w:rFonts w:ascii="Microsoft YaHei" w:hAnsi="Microsoft YaHei"/>
                <w:b/>
                <w:color w:val="1A1A1A"/>
                <w:sz w:val="18"/>
              </w:rPr>
              <w:t>-187.71 万</w:t>
            </w:r>
          </w:p>
        </w:tc>
        <w:tc>
          <w:tcPr>
            <w:tcW w:type="dxa" w:w="3022"/>
          </w:tcPr>
          <w:p>
            <w:pPr>
              <w:spacing w:before="40" w:after="40" w:line="288" w:lineRule="auto"/>
            </w:pPr>
            <w:r/>
            <w:r>
              <w:rPr>
                <w:rFonts w:ascii="Microsoft YaHei" w:hAnsi="Microsoft YaHei"/>
                <w:sz w:val="18"/>
              </w:rPr>
              <w:t>净流出</w:t>
            </w:r>
          </w:p>
        </w:tc>
      </w:tr>
    </w:tbl>
    <w:p/>
    <w:p>
      <w:r>
        <w:rPr>
          <w:rFonts w:ascii="Microsoft YaHei" w:hAnsi="Microsoft YaHei"/>
        </w:rPr>
        <w:t>大单净流出，中单净流入，呈现 "大单卖出、散户跟随卖出、中户接盘" 的格局。主力短期偏谨慎。</w:t>
      </w:r>
    </w:p>
    <w:p>
      <w:pPr>
        <w:spacing w:before="280" w:after="80" w:line="312" w:lineRule="auto"/>
      </w:pPr>
      <w:r>
        <w:rPr>
          <w:rFonts w:ascii="Microsoft YaHei" w:hAnsi="Microsoft YaHei"/>
          <w:b/>
          <w:color w:val="333333"/>
          <w:sz w:val="24"/>
        </w:rPr>
        <w:t>融资融券（截至7月27日）</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指标</w:t>
            </w:r>
          </w:p>
        </w:tc>
        <w:tc>
          <w:tcPr>
            <w:tcW w:type="dxa" w:w="3022"/>
            <w:shd w:fill="F6F8FA" w:val="clear"/>
          </w:tcPr>
          <w:p>
            <w:pPr>
              <w:spacing w:before="40" w:after="40" w:line="288" w:lineRule="auto"/>
            </w:pPr>
            <w:r/>
            <w:r>
              <w:rPr>
                <w:rFonts w:ascii="Microsoft YaHei" w:hAnsi="Microsoft YaHei"/>
                <w:b/>
                <w:color w:val="1A1A1A"/>
                <w:sz w:val="18"/>
              </w:rPr>
              <w:t>数值</w:t>
            </w:r>
          </w:p>
        </w:tc>
        <w:tc>
          <w:tcPr>
            <w:tcW w:type="dxa" w:w="3022"/>
            <w:shd w:fill="F6F8FA" w:val="clear"/>
          </w:tcPr>
          <w:p>
            <w:pPr>
              <w:spacing w:before="40" w:after="40" w:line="288" w:lineRule="auto"/>
            </w:pPr>
            <w:r/>
            <w:r>
              <w:rPr>
                <w:rFonts w:ascii="Microsoft YaHei" w:hAnsi="Microsoft YaHei"/>
                <w:b/>
                <w:color w:val="1A1A1A"/>
                <w:sz w:val="18"/>
              </w:rPr>
              <w:t>分位水平</w:t>
            </w:r>
          </w:p>
        </w:tc>
      </w:tr>
      <w:tr>
        <w:tc>
          <w:tcPr>
            <w:tcW w:type="dxa" w:w="3022"/>
          </w:tcPr>
          <w:p>
            <w:pPr>
              <w:spacing w:before="40" w:after="40" w:line="288" w:lineRule="auto"/>
            </w:pPr>
            <w:r/>
            <w:r>
              <w:rPr>
                <w:rFonts w:ascii="Microsoft YaHei" w:hAnsi="Microsoft YaHei"/>
                <w:sz w:val="18"/>
              </w:rPr>
              <w:t>融资余额</w:t>
            </w:r>
          </w:p>
        </w:tc>
        <w:tc>
          <w:tcPr>
            <w:tcW w:type="dxa" w:w="3022"/>
          </w:tcPr>
          <w:p>
            <w:pPr>
              <w:spacing w:before="40" w:after="40" w:line="288" w:lineRule="auto"/>
            </w:pPr>
            <w:r/>
            <w:r>
              <w:rPr>
                <w:rFonts w:ascii="Microsoft YaHei" w:hAnsi="Microsoft YaHei"/>
                <w:b/>
                <w:color w:val="1A1A1A"/>
                <w:sz w:val="18"/>
              </w:rPr>
              <w:t>2.79 亿元</w:t>
            </w:r>
          </w:p>
        </w:tc>
        <w:tc>
          <w:tcPr>
            <w:tcW w:type="dxa" w:w="3022"/>
          </w:tcPr>
          <w:p>
            <w:pPr>
              <w:spacing w:before="40" w:after="40" w:line="288" w:lineRule="auto"/>
            </w:pPr>
            <w:r/>
            <w:r>
              <w:rPr>
                <w:rFonts w:ascii="Microsoft YaHei" w:hAnsi="Microsoft YaHei"/>
                <w:sz w:val="18"/>
              </w:rPr>
              <w:t xml:space="preserve">低于近一年 </w:t>
            </w:r>
            <w:r>
              <w:rPr>
                <w:rFonts w:ascii="Microsoft YaHei" w:hAnsi="Microsoft YaHei"/>
                <w:b/>
                <w:color w:val="1A1A1A"/>
                <w:sz w:val="18"/>
              </w:rPr>
              <w:t>20%</w:t>
            </w:r>
            <w:r>
              <w:rPr>
                <w:rFonts w:ascii="Microsoft YaHei" w:hAnsi="Microsoft YaHei"/>
                <w:sz w:val="18"/>
              </w:rPr>
              <w:t xml:space="preserve"> 分位水平</w:t>
            </w:r>
          </w:p>
        </w:tc>
      </w:tr>
      <w:tr>
        <w:tc>
          <w:tcPr>
            <w:tcW w:type="dxa" w:w="3022"/>
            <w:shd w:fill="F8F9FA" w:val="clear"/>
          </w:tcPr>
          <w:p>
            <w:pPr>
              <w:spacing w:before="40" w:after="40" w:line="288" w:lineRule="auto"/>
            </w:pPr>
            <w:r/>
            <w:r>
              <w:rPr>
                <w:rFonts w:ascii="Microsoft YaHei" w:hAnsi="Microsoft YaHei"/>
                <w:sz w:val="18"/>
              </w:rPr>
              <w:t>融资余额占流通市值</w:t>
            </w:r>
          </w:p>
        </w:tc>
        <w:tc>
          <w:tcPr>
            <w:tcW w:type="dxa" w:w="3022"/>
            <w:shd w:fill="F8F9FA" w:val="clear"/>
          </w:tcPr>
          <w:p>
            <w:pPr>
              <w:spacing w:before="40" w:after="40" w:line="288" w:lineRule="auto"/>
            </w:pPr>
            <w:r/>
            <w:r>
              <w:rPr>
                <w:rFonts w:ascii="Microsoft YaHei" w:hAnsi="Microsoft YaHei"/>
                <w:b/>
                <w:color w:val="1A1A1A"/>
                <w:sz w:val="18"/>
              </w:rPr>
              <w:t>1.75%</w:t>
            </w:r>
          </w:p>
        </w:tc>
        <w:tc>
          <w:tcPr>
            <w:tcW w:type="dxa" w:w="3022"/>
            <w:shd w:fill="F8F9FA" w:val="clear"/>
          </w:tcPr>
          <w:p>
            <w:pPr>
              <w:spacing w:before="40" w:after="40" w:line="288" w:lineRule="auto"/>
            </w:pPr>
            <w:r/>
            <w:r>
              <w:rPr>
                <w:rFonts w:ascii="Microsoft YaHei" w:hAnsi="Microsoft YaHei"/>
                <w:sz w:val="18"/>
              </w:rPr>
              <w:t>—</w:t>
            </w:r>
          </w:p>
        </w:tc>
      </w:tr>
      <w:tr>
        <w:tc>
          <w:tcPr>
            <w:tcW w:type="dxa" w:w="3022"/>
          </w:tcPr>
          <w:p>
            <w:pPr>
              <w:spacing w:before="40" w:after="40" w:line="288" w:lineRule="auto"/>
            </w:pPr>
            <w:r/>
            <w:r>
              <w:rPr>
                <w:rFonts w:ascii="Microsoft YaHei" w:hAnsi="Microsoft YaHei"/>
                <w:sz w:val="18"/>
              </w:rPr>
              <w:t>融券余额</w:t>
            </w:r>
          </w:p>
        </w:tc>
        <w:tc>
          <w:tcPr>
            <w:tcW w:type="dxa" w:w="3022"/>
          </w:tcPr>
          <w:p>
            <w:pPr>
              <w:spacing w:before="40" w:after="40" w:line="288" w:lineRule="auto"/>
            </w:pPr>
            <w:r/>
            <w:r>
              <w:rPr>
                <w:rFonts w:ascii="Microsoft YaHei" w:hAnsi="Microsoft YaHei"/>
                <w:b/>
                <w:color w:val="1A1A1A"/>
                <w:sz w:val="18"/>
              </w:rPr>
              <w:t>307.54 万元</w:t>
            </w:r>
          </w:p>
        </w:tc>
        <w:tc>
          <w:tcPr>
            <w:tcW w:type="dxa" w:w="3022"/>
          </w:tcPr>
          <w:p>
            <w:pPr>
              <w:spacing w:before="40" w:after="40" w:line="288" w:lineRule="auto"/>
            </w:pPr>
            <w:r/>
            <w:r>
              <w:rPr>
                <w:rFonts w:ascii="Microsoft YaHei" w:hAnsi="Microsoft YaHei"/>
                <w:sz w:val="18"/>
              </w:rPr>
              <w:t xml:space="preserve">超过近一年 </w:t>
            </w:r>
            <w:r>
              <w:rPr>
                <w:rFonts w:ascii="Microsoft YaHei" w:hAnsi="Microsoft YaHei"/>
                <w:b/>
                <w:color w:val="1A1A1A"/>
                <w:sz w:val="18"/>
              </w:rPr>
              <w:t>90%</w:t>
            </w:r>
            <w:r>
              <w:rPr>
                <w:rFonts w:ascii="Microsoft YaHei" w:hAnsi="Microsoft YaHei"/>
                <w:sz w:val="18"/>
              </w:rPr>
              <w:t xml:space="preserve"> 分位水平</w:t>
            </w:r>
          </w:p>
        </w:tc>
      </w:tr>
      <w:tr>
        <w:tc>
          <w:tcPr>
            <w:tcW w:type="dxa" w:w="3022"/>
            <w:shd w:fill="F8F9FA" w:val="clear"/>
          </w:tcPr>
          <w:p>
            <w:pPr>
              <w:spacing w:before="40" w:after="40" w:line="288" w:lineRule="auto"/>
            </w:pPr>
            <w:r/>
            <w:r>
              <w:rPr>
                <w:rFonts w:ascii="Microsoft YaHei" w:hAnsi="Microsoft YaHei"/>
                <w:sz w:val="18"/>
              </w:rPr>
              <w:t>昨日融资净买入</w:t>
            </w:r>
          </w:p>
        </w:tc>
        <w:tc>
          <w:tcPr>
            <w:tcW w:type="dxa" w:w="3022"/>
            <w:shd w:fill="F8F9FA" w:val="clear"/>
          </w:tcPr>
          <w:p>
            <w:pPr>
              <w:spacing w:before="40" w:after="40" w:line="288" w:lineRule="auto"/>
            </w:pPr>
            <w:r/>
            <w:r>
              <w:rPr>
                <w:rFonts w:ascii="Microsoft YaHei" w:hAnsi="Microsoft YaHei"/>
                <w:b/>
                <w:color w:val="1A1A1A"/>
                <w:sz w:val="18"/>
              </w:rPr>
              <w:t>-181.97 万元</w:t>
            </w:r>
          </w:p>
        </w:tc>
        <w:tc>
          <w:tcPr>
            <w:tcW w:type="dxa" w:w="3022"/>
            <w:shd w:fill="F8F9FA" w:val="clear"/>
          </w:tcPr>
          <w:p>
            <w:pPr>
              <w:spacing w:before="40" w:after="40" w:line="288" w:lineRule="auto"/>
            </w:pPr>
            <w:r/>
            <w:r>
              <w:rPr>
                <w:rFonts w:ascii="Microsoft YaHei" w:hAnsi="Microsoft YaHei"/>
                <w:sz w:val="18"/>
              </w:rPr>
              <w:t>融资偿还 &gt; 融资买入</w:t>
            </w:r>
          </w:p>
        </w:tc>
      </w:tr>
    </w:tbl>
    <w:p/>
    <w:p>
      <w:r>
        <w:rPr>
          <w:rFonts w:ascii="Microsoft YaHei" w:hAnsi="Microsoft YaHei"/>
          <w:b/>
          <w:color w:val="1A1A1A"/>
        </w:rPr>
        <w:t>融资低迷、融券高企</w:t>
      </w:r>
      <w:r>
        <w:rPr>
          <w:rFonts w:ascii="Microsoft YaHei" w:hAnsi="Microsoft YaHei"/>
        </w:rPr>
        <w:t xml:space="preserve"> 的信号组合偏空：融资余额处于历史低位，说明杠杆资金参与度低、市场情绪偏冷；融券余额处于 </w:t>
      </w:r>
      <w:r>
        <w:rPr>
          <w:rFonts w:ascii="Microsoft YaHei" w:hAnsi="Microsoft YaHei"/>
          <w:b/>
          <w:color w:val="1A1A1A"/>
        </w:rPr>
        <w:t>90%分位高位</w:t>
      </w:r>
      <w:r>
        <w:rPr>
          <w:rFonts w:ascii="Microsoft YaHei" w:hAnsi="Microsoft YaHei"/>
        </w:rPr>
        <w:t>，表明空头力量相对集中。两者结合，短期空方预期较为一致。</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技术面</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技术指标</w:t>
            </w:r>
          </w:p>
        </w:tc>
        <w:tc>
          <w:tcPr>
            <w:tcW w:type="dxa" w:w="3022"/>
            <w:shd w:fill="F6F8FA" w:val="clear"/>
          </w:tcPr>
          <w:p>
            <w:pPr>
              <w:spacing w:before="40" w:after="40" w:line="288" w:lineRule="auto"/>
            </w:pPr>
            <w:r/>
            <w:r>
              <w:rPr>
                <w:rFonts w:ascii="Microsoft YaHei" w:hAnsi="Microsoft YaHei"/>
                <w:b/>
                <w:color w:val="1A1A1A"/>
                <w:sz w:val="18"/>
              </w:rPr>
              <w:t>位置</w:t>
            </w:r>
          </w:p>
        </w:tc>
        <w:tc>
          <w:tcPr>
            <w:tcW w:type="dxa" w:w="3022"/>
            <w:shd w:fill="F6F8FA" w:val="clear"/>
          </w:tcPr>
          <w:p>
            <w:pPr>
              <w:spacing w:before="40" w:after="40" w:line="288" w:lineRule="auto"/>
            </w:pPr>
            <w:r/>
            <w:r>
              <w:rPr>
                <w:rFonts w:ascii="Microsoft YaHei" w:hAnsi="Microsoft YaHei"/>
                <w:b/>
                <w:color w:val="1A1A1A"/>
                <w:sz w:val="18"/>
              </w:rPr>
              <w:t>偏离度</w:t>
            </w:r>
          </w:p>
        </w:tc>
      </w:tr>
      <w:tr>
        <w:tc>
          <w:tcPr>
            <w:tcW w:type="dxa" w:w="3022"/>
          </w:tcPr>
          <w:p>
            <w:pPr>
              <w:spacing w:before="40" w:after="40" w:line="288" w:lineRule="auto"/>
            </w:pPr>
            <w:r/>
            <w:r>
              <w:rPr>
                <w:rFonts w:ascii="Microsoft YaHei" w:hAnsi="Microsoft YaHei"/>
                <w:sz w:val="18"/>
              </w:rPr>
              <w:t>当前价</w:t>
            </w:r>
          </w:p>
        </w:tc>
        <w:tc>
          <w:tcPr>
            <w:tcW w:type="dxa" w:w="3022"/>
          </w:tcPr>
          <w:p>
            <w:pPr>
              <w:spacing w:before="40" w:after="40" w:line="288" w:lineRule="auto"/>
            </w:pPr>
            <w:r/>
            <w:r>
              <w:rPr>
                <w:rFonts w:ascii="Microsoft YaHei" w:hAnsi="Microsoft YaHei"/>
                <w:b/>
                <w:color w:val="1A1A1A"/>
                <w:sz w:val="18"/>
              </w:rPr>
              <w:t>1.98 元</w:t>
            </w:r>
          </w:p>
        </w:tc>
        <w:tc>
          <w:tcPr>
            <w:tcW w:type="dxa" w:w="3022"/>
          </w:tcPr>
          <w:p>
            <w:pPr>
              <w:spacing w:before="40" w:after="40" w:line="288" w:lineRule="auto"/>
            </w:pPr>
            <w:r/>
            <w:r>
              <w:rPr>
                <w:rFonts w:ascii="Microsoft YaHei" w:hAnsi="Microsoft YaHei"/>
                <w:sz w:val="18"/>
              </w:rPr>
              <w:t>—</w:t>
            </w:r>
          </w:p>
        </w:tc>
      </w:tr>
      <w:tr>
        <w:tc>
          <w:tcPr>
            <w:tcW w:type="dxa" w:w="3022"/>
            <w:shd w:fill="F8F9FA" w:val="clear"/>
          </w:tcPr>
          <w:p>
            <w:pPr>
              <w:spacing w:before="40" w:after="40" w:line="288" w:lineRule="auto"/>
            </w:pPr>
            <w:r/>
            <w:r>
              <w:rPr>
                <w:rFonts w:ascii="Microsoft YaHei" w:hAnsi="Microsoft YaHei"/>
                <w:sz w:val="18"/>
              </w:rPr>
              <w:t>MA5</w:t>
            </w:r>
          </w:p>
        </w:tc>
        <w:tc>
          <w:tcPr>
            <w:tcW w:type="dxa" w:w="3022"/>
            <w:shd w:fill="F8F9FA" w:val="clear"/>
          </w:tcPr>
          <w:p>
            <w:pPr>
              <w:spacing w:before="40" w:after="40" w:line="288" w:lineRule="auto"/>
            </w:pPr>
            <w:r/>
            <w:r>
              <w:rPr>
                <w:rFonts w:ascii="Microsoft YaHei" w:hAnsi="Microsoft YaHei"/>
                <w:sz w:val="18"/>
              </w:rPr>
              <w:t xml:space="preserve">约 </w:t>
            </w:r>
            <w:r>
              <w:rPr>
                <w:rFonts w:ascii="Microsoft YaHei" w:hAnsi="Microsoft YaHei"/>
                <w:b/>
                <w:color w:val="1A1A1A"/>
                <w:sz w:val="18"/>
              </w:rPr>
              <w:t>1.98 元</w:t>
            </w:r>
          </w:p>
        </w:tc>
        <w:tc>
          <w:tcPr>
            <w:tcW w:type="dxa" w:w="3022"/>
            <w:shd w:fill="F8F9FA" w:val="clear"/>
          </w:tcPr>
          <w:p>
            <w:pPr>
              <w:spacing w:before="40" w:after="40" w:line="288" w:lineRule="auto"/>
            </w:pPr>
            <w:r/>
            <w:r>
              <w:rPr>
                <w:rFonts w:ascii="Microsoft YaHei" w:hAnsi="Microsoft YaHei"/>
                <w:sz w:val="18"/>
              </w:rPr>
              <w:t>贴近平价</w:t>
            </w:r>
          </w:p>
        </w:tc>
      </w:tr>
      <w:tr>
        <w:tc>
          <w:tcPr>
            <w:tcW w:type="dxa" w:w="3022"/>
          </w:tcPr>
          <w:p>
            <w:pPr>
              <w:spacing w:before="40" w:after="40" w:line="288" w:lineRule="auto"/>
            </w:pPr>
            <w:r/>
            <w:r>
              <w:rPr>
                <w:rFonts w:ascii="Microsoft YaHei" w:hAnsi="Microsoft YaHei"/>
                <w:sz w:val="18"/>
              </w:rPr>
              <w:t>MA10</w:t>
            </w:r>
          </w:p>
        </w:tc>
        <w:tc>
          <w:tcPr>
            <w:tcW w:type="dxa" w:w="3022"/>
          </w:tcPr>
          <w:p>
            <w:pPr>
              <w:spacing w:before="40" w:after="40" w:line="288" w:lineRule="auto"/>
            </w:pPr>
            <w:r/>
            <w:r>
              <w:rPr>
                <w:rFonts w:ascii="Microsoft YaHei" w:hAnsi="Microsoft YaHei"/>
                <w:sz w:val="18"/>
              </w:rPr>
              <w:t xml:space="preserve">约 </w:t>
            </w:r>
            <w:r>
              <w:rPr>
                <w:rFonts w:ascii="Microsoft YaHei" w:hAnsi="Microsoft YaHei"/>
                <w:b/>
                <w:color w:val="1A1A1A"/>
                <w:sz w:val="18"/>
              </w:rPr>
              <w:t>1.95 元</w:t>
            </w:r>
          </w:p>
        </w:tc>
        <w:tc>
          <w:tcPr>
            <w:tcW w:type="dxa" w:w="3022"/>
          </w:tcPr>
          <w:p>
            <w:pPr>
              <w:spacing w:before="40" w:after="40" w:line="288" w:lineRule="auto"/>
            </w:pPr>
            <w:r/>
            <w:r>
              <w:rPr>
                <w:rFonts w:ascii="Microsoft YaHei" w:hAnsi="Microsoft YaHei"/>
                <w:sz w:val="18"/>
              </w:rPr>
              <w:t xml:space="preserve">上方 </w:t>
            </w:r>
            <w:r>
              <w:rPr>
                <w:rFonts w:ascii="Microsoft YaHei" w:hAnsi="Microsoft YaHei"/>
                <w:b/>
                <w:color w:val="1A1A1A"/>
                <w:sz w:val="18"/>
              </w:rPr>
              <w:t>+1.5%</w:t>
            </w:r>
          </w:p>
        </w:tc>
      </w:tr>
      <w:tr>
        <w:tc>
          <w:tcPr>
            <w:tcW w:type="dxa" w:w="3022"/>
            <w:shd w:fill="F8F9FA" w:val="clear"/>
          </w:tcPr>
          <w:p>
            <w:pPr>
              <w:spacing w:before="40" w:after="40" w:line="288" w:lineRule="auto"/>
            </w:pPr>
            <w:r/>
            <w:r>
              <w:rPr>
                <w:rFonts w:ascii="Microsoft YaHei" w:hAnsi="Microsoft YaHei"/>
                <w:sz w:val="18"/>
              </w:rPr>
              <w:t>MA20（布林中轨）</w:t>
            </w:r>
          </w:p>
        </w:tc>
        <w:tc>
          <w:tcPr>
            <w:tcW w:type="dxa" w:w="3022"/>
            <w:shd w:fill="F8F9FA" w:val="clear"/>
          </w:tcPr>
          <w:p>
            <w:pPr>
              <w:spacing w:before="40" w:after="40" w:line="288" w:lineRule="auto"/>
            </w:pPr>
            <w:r/>
            <w:r>
              <w:rPr>
                <w:rFonts w:ascii="Microsoft YaHei" w:hAnsi="Microsoft YaHei"/>
                <w:sz w:val="18"/>
              </w:rPr>
              <w:t xml:space="preserve">约 </w:t>
            </w:r>
            <w:r>
              <w:rPr>
                <w:rFonts w:ascii="Microsoft YaHei" w:hAnsi="Microsoft YaHei"/>
                <w:b/>
                <w:color w:val="1A1A1A"/>
                <w:sz w:val="18"/>
              </w:rPr>
              <w:t>1.92 元</w:t>
            </w:r>
          </w:p>
        </w:tc>
        <w:tc>
          <w:tcPr>
            <w:tcW w:type="dxa" w:w="3022"/>
            <w:shd w:fill="F8F9FA" w:val="clear"/>
          </w:tcPr>
          <w:p>
            <w:pPr>
              <w:spacing w:before="40" w:after="40" w:line="288" w:lineRule="auto"/>
            </w:pPr>
            <w:r/>
            <w:r>
              <w:rPr>
                <w:rFonts w:ascii="Microsoft YaHei" w:hAnsi="Microsoft YaHei"/>
                <w:sz w:val="18"/>
              </w:rPr>
              <w:t xml:space="preserve">上方 </w:t>
            </w:r>
            <w:r>
              <w:rPr>
                <w:rFonts w:ascii="Microsoft YaHei" w:hAnsi="Microsoft YaHei"/>
                <w:b/>
                <w:color w:val="1A1A1A"/>
                <w:sz w:val="18"/>
              </w:rPr>
              <w:t>+3.1%</w:t>
            </w:r>
          </w:p>
        </w:tc>
      </w:tr>
      <w:tr>
        <w:tc>
          <w:tcPr>
            <w:tcW w:type="dxa" w:w="3022"/>
          </w:tcPr>
          <w:p>
            <w:pPr>
              <w:spacing w:before="40" w:after="40" w:line="288" w:lineRule="auto"/>
            </w:pPr>
            <w:r/>
            <w:r>
              <w:rPr>
                <w:rFonts w:ascii="Microsoft YaHei" w:hAnsi="Microsoft YaHei"/>
                <w:sz w:val="18"/>
              </w:rPr>
              <w:t>布林带上轨</w:t>
            </w:r>
          </w:p>
        </w:tc>
        <w:tc>
          <w:tcPr>
            <w:tcW w:type="dxa" w:w="3022"/>
          </w:tcPr>
          <w:p>
            <w:pPr>
              <w:spacing w:before="40" w:after="40" w:line="288" w:lineRule="auto"/>
            </w:pPr>
            <w:r/>
            <w:r>
              <w:rPr>
                <w:rFonts w:ascii="Microsoft YaHei" w:hAnsi="Microsoft YaHei"/>
                <w:b/>
                <w:color w:val="1A1A1A"/>
                <w:sz w:val="18"/>
              </w:rPr>
              <w:t>2.02 元</w:t>
            </w:r>
          </w:p>
        </w:tc>
        <w:tc>
          <w:tcPr>
            <w:tcW w:type="dxa" w:w="3022"/>
          </w:tcPr>
          <w:p>
            <w:pPr>
              <w:spacing w:before="40" w:after="40" w:line="288" w:lineRule="auto"/>
            </w:pPr>
            <w:r/>
            <w:r>
              <w:rPr>
                <w:rFonts w:ascii="Microsoft YaHei" w:hAnsi="Microsoft YaHei"/>
                <w:sz w:val="18"/>
              </w:rPr>
              <w:t xml:space="preserve">距当前仅 </w:t>
            </w:r>
            <w:r>
              <w:rPr>
                <w:rFonts w:ascii="Microsoft YaHei" w:hAnsi="Microsoft YaHei"/>
                <w:b/>
                <w:color w:val="1A1A1A"/>
                <w:sz w:val="18"/>
              </w:rPr>
              <w:t>+2.0%</w:t>
            </w:r>
          </w:p>
        </w:tc>
      </w:tr>
      <w:tr>
        <w:tc>
          <w:tcPr>
            <w:tcW w:type="dxa" w:w="3022"/>
            <w:shd w:fill="F8F9FA" w:val="clear"/>
          </w:tcPr>
          <w:p>
            <w:pPr>
              <w:spacing w:before="40" w:after="40" w:line="288" w:lineRule="auto"/>
            </w:pPr>
            <w:r/>
            <w:r>
              <w:rPr>
                <w:rFonts w:ascii="Microsoft YaHei" w:hAnsi="Microsoft YaHei"/>
                <w:sz w:val="18"/>
              </w:rPr>
              <w:t>布林带下轨</w:t>
            </w:r>
          </w:p>
        </w:tc>
        <w:tc>
          <w:tcPr>
            <w:tcW w:type="dxa" w:w="3022"/>
            <w:shd w:fill="F8F9FA" w:val="clear"/>
          </w:tcPr>
          <w:p>
            <w:pPr>
              <w:spacing w:before="40" w:after="40" w:line="288" w:lineRule="auto"/>
            </w:pPr>
            <w:r/>
            <w:r>
              <w:rPr>
                <w:rFonts w:ascii="Microsoft YaHei" w:hAnsi="Microsoft YaHei"/>
                <w:sz w:val="18"/>
              </w:rPr>
              <w:t>1.82 元</w:t>
            </w:r>
          </w:p>
        </w:tc>
        <w:tc>
          <w:tcPr>
            <w:tcW w:type="dxa" w:w="3022"/>
            <w:shd w:fill="F8F9FA" w:val="clear"/>
          </w:tcPr>
          <w:p>
            <w:pPr>
              <w:spacing w:before="40" w:after="40" w:line="288" w:lineRule="auto"/>
            </w:pPr>
            <w:r/>
            <w:r>
              <w:rPr>
                <w:rFonts w:ascii="Microsoft YaHei" w:hAnsi="Microsoft YaHei"/>
                <w:sz w:val="18"/>
              </w:rPr>
              <w:t>—</w:t>
            </w:r>
          </w:p>
        </w:tc>
      </w:tr>
    </w:tbl>
    <w:p/>
    <w:p>
      <w:r>
        <w:rPr>
          <w:rFonts w:ascii="Microsoft YaHei" w:hAnsi="Microsoft YaHei"/>
          <w:b/>
          <w:color w:val="1A1A1A"/>
        </w:rPr>
        <w:t>技术面呈多头排列</w:t>
      </w:r>
      <w:r>
        <w:rPr>
          <w:rFonts w:ascii="Microsoft YaHei" w:hAnsi="Microsoft YaHei"/>
        </w:rPr>
        <w:t xml:space="preserve">，股价自开盘价 </w:t>
      </w:r>
      <w:r>
        <w:rPr>
          <w:rFonts w:ascii="Microsoft YaHei" w:hAnsi="Microsoft YaHei"/>
          <w:b/>
          <w:color w:val="1A1A1A"/>
        </w:rPr>
        <w:t>1.93元</w:t>
      </w:r>
      <w:r>
        <w:rPr>
          <w:rFonts w:ascii="Microsoft YaHei" w:hAnsi="Microsoft YaHei"/>
        </w:rPr>
        <w:t xml:space="preserve"> 一路拉升至 </w:t>
      </w:r>
      <w:r>
        <w:rPr>
          <w:rFonts w:ascii="Microsoft YaHei" w:hAnsi="Microsoft YaHei"/>
          <w:b/>
          <w:color w:val="1A1A1A"/>
        </w:rPr>
        <w:t>1.98元</w:t>
      </w:r>
      <w:r>
        <w:rPr>
          <w:rFonts w:ascii="Microsoft YaHei" w:hAnsi="Microsoft YaHei"/>
        </w:rPr>
        <w:t xml:space="preserve">，已连续站稳 MA5、MA10、MA20 三条均线，中短期均线系统呈发散向上态势。从 </w:t>
      </w:r>
      <w:r>
        <w:rPr>
          <w:rFonts w:ascii="Microsoft YaHei" w:hAnsi="Microsoft YaHei"/>
          <w:b/>
          <w:color w:val="1A1A1A"/>
        </w:rPr>
        <w:t>1.92元（MA20/布林中轨）</w:t>
      </w:r>
      <w:r>
        <w:rPr>
          <w:rFonts w:ascii="Microsoft YaHei" w:hAnsi="Microsoft YaHei"/>
        </w:rPr>
        <w:t xml:space="preserve"> 的支撑并放量启动，技术上形成了一次有效的 </w:t>
      </w:r>
      <w:r>
        <w:rPr>
          <w:rFonts w:ascii="Microsoft YaHei" w:hAnsi="Microsoft YaHei"/>
          <w:b/>
          <w:color w:val="1A1A1A"/>
        </w:rPr>
        <w:t>"回踩中轨→突破上行"</w:t>
      </w:r>
      <w:r>
        <w:rPr>
          <w:rFonts w:ascii="Microsoft YaHei" w:hAnsi="Microsoft YaHei"/>
        </w:rPr>
        <w:t xml:space="preserve"> 结构。</w:t>
      </w:r>
    </w:p>
    <w:p>
      <w:r>
        <w:rPr>
          <w:rFonts w:ascii="Microsoft YaHei" w:hAnsi="Microsoft YaHei"/>
          <w:b/>
          <w:color w:val="1A1A1A"/>
        </w:rPr>
        <w:t>需要注意的是</w:t>
      </w:r>
      <w:r>
        <w:rPr>
          <w:rFonts w:ascii="Microsoft YaHei" w:hAnsi="Microsoft YaHei"/>
        </w:rPr>
        <w:t xml:space="preserve">，当前价距布林带上轨 </w:t>
      </w:r>
      <w:r>
        <w:rPr>
          <w:rFonts w:ascii="Microsoft YaHei" w:hAnsi="Microsoft YaHei"/>
          <w:b/>
          <w:color w:val="1A1A1A"/>
        </w:rPr>
        <w:t>2.02元</w:t>
      </w:r>
      <w:r>
        <w:rPr>
          <w:rFonts w:ascii="Microsoft YaHei" w:hAnsi="Microsoft YaHei"/>
        </w:rPr>
        <w:t xml:space="preserve"> 仅 </w:t>
      </w:r>
      <w:r>
        <w:rPr>
          <w:rFonts w:ascii="Microsoft YaHei" w:hAnsi="Microsoft YaHei"/>
          <w:b/>
          <w:color w:val="1A1A1A"/>
        </w:rPr>
        <w:t>2%</w:t>
      </w:r>
      <w:r>
        <w:rPr>
          <w:rFonts w:ascii="Microsoft YaHei" w:hAnsi="Microsoft YaHei"/>
        </w:rPr>
        <w:t xml:space="preserve"> 空间，若后续量能无法进一步放大，上轨压力可能制约反弹高度。</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新闻资讯分析</w:t>
      </w:r>
    </w:p>
    <w:p>
      <w:pPr>
        <w:spacing w:before="280" w:after="80" w:line="312" w:lineRule="auto"/>
      </w:pPr>
      <w:r>
        <w:rPr>
          <w:rFonts w:ascii="Microsoft YaHei" w:hAnsi="Microsoft YaHei"/>
          <w:b/>
          <w:color w:val="333333"/>
          <w:sz w:val="24"/>
        </w:rPr>
        <w:t>📌 正面资讯</w:t>
      </w:r>
    </w:p>
    <w:p>
      <w:r>
        <w:rPr>
          <w:rFonts w:ascii="Microsoft YaHei" w:hAnsi="Microsoft YaHei"/>
          <w:b/>
          <w:color w:val="1A1A1A"/>
        </w:rPr>
        <w:t>1. 鞍钢集团入选2026年《财富》世界500强</w:t>
      </w:r>
    </w:p>
    <w:p>
      <w:r>
        <w:rPr>
          <w:rFonts w:ascii="Microsoft YaHei" w:hAnsi="Microsoft YaHei"/>
        </w:rPr>
        <w:t>鞍钢集团有限公司位列2026年《财富》世界500强榜单，这是中国11家上榜钢企之一。作为集团旗下核心上市平台，鞍钢股份直接受益于集团品牌背书与资源协同效应。虽然短期对业绩改善有限，但有助于提振市场信心和估值修复情绪。</w:t>
      </w:r>
    </w:p>
    <w:p>
      <w:r>
        <w:rPr>
          <w:rFonts w:ascii="Microsoft YaHei" w:hAnsi="Microsoft YaHei"/>
          <w:b/>
          <w:color w:val="1A1A1A"/>
        </w:rPr>
        <w:t>2. 鞍钢联众构建"固定散货班轮+集装箱快线"双通道物流体系</w:t>
      </w:r>
    </w:p>
    <w:p>
      <w:r>
        <w:rPr>
          <w:rFonts w:ascii="Microsoft YaHei" w:hAnsi="Microsoft YaHei"/>
        </w:rPr>
        <w:t xml:space="preserve">面对航运成本上涨压力，鞍钢联众（鞍钢股份子公司）积极搭建双通道物流体系，年稳定运力突破 </w:t>
      </w:r>
      <w:r>
        <w:rPr>
          <w:rFonts w:ascii="Microsoft YaHei" w:hAnsi="Microsoft YaHei"/>
          <w:b/>
          <w:color w:val="1A1A1A"/>
        </w:rPr>
        <w:t>35万吨</w:t>
      </w:r>
      <w:r>
        <w:rPr>
          <w:rFonts w:ascii="Microsoft YaHei" w:hAnsi="Microsoft YaHei"/>
        </w:rPr>
        <w:t xml:space="preserve">，节能船型运力占比提至 </w:t>
      </w:r>
      <w:r>
        <w:rPr>
          <w:rFonts w:ascii="Microsoft YaHei" w:hAnsi="Microsoft YaHei"/>
          <w:b/>
          <w:color w:val="1A1A1A"/>
        </w:rPr>
        <w:t>95.18%</w:t>
      </w:r>
      <w:r>
        <w:rPr>
          <w:rFonts w:ascii="Microsoft YaHei" w:hAnsi="Microsoft YaHei"/>
        </w:rPr>
        <w:t xml:space="preserve">。此举有助于 </w:t>
      </w:r>
      <w:r>
        <w:rPr>
          <w:rFonts w:ascii="Microsoft YaHei" w:hAnsi="Microsoft YaHei"/>
          <w:b/>
          <w:color w:val="1A1A1A"/>
        </w:rPr>
        <w:t>降低运输成本、保障交付时效</w:t>
      </w:r>
      <w:r>
        <w:rPr>
          <w:rFonts w:ascii="Microsoft YaHei" w:hAnsi="Microsoft YaHei"/>
        </w:rPr>
        <w:t>，对改善公司经营效率构成实质利好。</w:t>
      </w:r>
    </w:p>
    <w:p>
      <w:r>
        <w:rPr>
          <w:rFonts w:ascii="Microsoft YaHei" w:hAnsi="Microsoft YaHei"/>
          <w:b/>
          <w:color w:val="1A1A1A"/>
        </w:rPr>
        <w:t>3. 与比亚迪深度绑定，汽车钢供货占比达40%</w:t>
      </w:r>
    </w:p>
    <w:p>
      <w:r>
        <w:rPr>
          <w:rFonts w:ascii="Microsoft YaHei" w:hAnsi="Microsoft YaHei"/>
        </w:rPr>
        <w:t xml:space="preserve">鞍钢是比亚迪战略合作伙伴及最大钢材供应商，全年供货占比亚迪钢材采购量的 </w:t>
      </w:r>
      <w:r>
        <w:rPr>
          <w:rFonts w:ascii="Microsoft YaHei" w:hAnsi="Microsoft YaHei"/>
          <w:b/>
          <w:color w:val="1A1A1A"/>
        </w:rPr>
        <w:t>40%</w:t>
      </w:r>
      <w:r>
        <w:rPr>
          <w:rFonts w:ascii="Microsoft YaHei" w:hAnsi="Microsoft YaHei"/>
        </w:rPr>
        <w:t>。新能源汽车高景气度有望持续带来订单支撑。</w:t>
      </w:r>
    </w:p>
    <w:p>
      <w:pPr>
        <w:spacing w:before="280" w:after="80" w:line="312" w:lineRule="auto"/>
      </w:pPr>
      <w:r>
        <w:rPr>
          <w:rFonts w:ascii="Microsoft YaHei" w:hAnsi="Microsoft YaHei"/>
          <w:b/>
          <w:color w:val="333333"/>
          <w:sz w:val="24"/>
        </w:rPr>
        <w:t>⚠️ 中性偏空资讯</w:t>
      </w:r>
    </w:p>
    <w:p>
      <w:r>
        <w:rPr>
          <w:rFonts w:ascii="Microsoft YaHei" w:hAnsi="Microsoft YaHei"/>
          <w:b/>
          <w:color w:val="1A1A1A"/>
        </w:rPr>
        <w:t>4. 融资余额低位、融券余额高位</w:t>
      </w:r>
    </w:p>
    <w:p>
      <w:r>
        <w:rPr>
          <w:rFonts w:ascii="Microsoft YaHei" w:hAnsi="Microsoft YaHei"/>
        </w:rPr>
        <w:t>交投数据反映杠杆资金参与热情低，空头仓位偏高，资金面对股价上行支撑力度有限。</w:t>
      </w:r>
    </w:p>
    <w:p>
      <w:r>
        <w:rPr>
          <w:rFonts w:ascii="Microsoft YaHei" w:hAnsi="Microsoft YaHei"/>
          <w:b/>
          <w:color w:val="1A1A1A"/>
        </w:rPr>
        <w:t>5. 一季度业绩承压</w:t>
      </w:r>
    </w:p>
    <w:p>
      <w:r>
        <w:rPr>
          <w:rFonts w:ascii="Microsoft YaHei" w:hAnsi="Microsoft YaHei"/>
        </w:rPr>
        <w:t xml:space="preserve">2026年一季度营收 </w:t>
      </w:r>
      <w:r>
        <w:rPr>
          <w:rFonts w:ascii="Microsoft YaHei" w:hAnsi="Microsoft YaHei"/>
          <w:b/>
          <w:color w:val="1A1A1A"/>
        </w:rPr>
        <w:t>220.21亿元（同比-12.19%）</w:t>
      </w:r>
      <w:r>
        <w:rPr>
          <w:rFonts w:ascii="Microsoft YaHei" w:hAnsi="Microsoft YaHei"/>
        </w:rPr>
        <w:t xml:space="preserve">，归母净利润 </w:t>
      </w:r>
      <w:r>
        <w:rPr>
          <w:rFonts w:ascii="Microsoft YaHei" w:hAnsi="Microsoft YaHei"/>
          <w:b/>
          <w:color w:val="1A1A1A"/>
        </w:rPr>
        <w:t>-14.57亿元（同比-163%）</w:t>
      </w:r>
      <w:r>
        <w:rPr>
          <w:rFonts w:ascii="Microsoft YaHei" w:hAnsi="Microsoft YaHei"/>
        </w:rPr>
        <w:t>。行业需求疲软叠加成本压力，基本面短期内难以快速扭转。</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板块关联</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shd w:fill="F6F8FA" w:val="clear"/>
          </w:tcPr>
          <w:p>
            <w:pPr>
              <w:spacing w:before="40" w:after="40" w:line="288" w:lineRule="auto"/>
            </w:pPr>
            <w:r/>
            <w:r>
              <w:rPr>
                <w:rFonts w:ascii="Microsoft YaHei" w:hAnsi="Microsoft YaHei"/>
                <w:b/>
                <w:color w:val="1A1A1A"/>
                <w:sz w:val="18"/>
              </w:rPr>
              <w:t>板块名称</w:t>
            </w:r>
          </w:p>
        </w:tc>
        <w:tc>
          <w:tcPr>
            <w:tcW w:type="dxa" w:w="2266"/>
            <w:shd w:fill="F6F8FA" w:val="clear"/>
          </w:tcPr>
          <w:p>
            <w:pPr>
              <w:spacing w:before="40" w:after="40" w:line="288" w:lineRule="auto"/>
            </w:pPr>
            <w:r/>
            <w:r>
              <w:rPr>
                <w:rFonts w:ascii="Microsoft YaHei" w:hAnsi="Microsoft YaHei"/>
                <w:b/>
                <w:color w:val="1A1A1A"/>
                <w:sz w:val="18"/>
              </w:rPr>
              <w:t>涨跌幅</w:t>
            </w:r>
          </w:p>
        </w:tc>
        <w:tc>
          <w:tcPr>
            <w:tcW w:type="dxa" w:w="2266"/>
            <w:shd w:fill="F6F8FA" w:val="clear"/>
          </w:tcPr>
          <w:p>
            <w:pPr>
              <w:spacing w:before="40" w:after="40" w:line="288" w:lineRule="auto"/>
            </w:pPr>
            <w:r/>
            <w:r>
              <w:rPr>
                <w:rFonts w:ascii="Microsoft YaHei" w:hAnsi="Microsoft YaHei"/>
                <w:b/>
                <w:color w:val="1A1A1A"/>
                <w:sz w:val="18"/>
              </w:rPr>
              <w:t>板块排名/总数</w:t>
            </w:r>
          </w:p>
        </w:tc>
        <w:tc>
          <w:tcPr>
            <w:tcW w:type="dxa" w:w="2266"/>
            <w:shd w:fill="F6F8FA" w:val="clear"/>
          </w:tcPr>
          <w:p>
            <w:pPr>
              <w:spacing w:before="40" w:after="40" w:line="288" w:lineRule="auto"/>
            </w:pPr>
            <w:r/>
            <w:r>
              <w:rPr>
                <w:rFonts w:ascii="Microsoft YaHei" w:hAnsi="Microsoft YaHei"/>
                <w:b/>
                <w:color w:val="1A1A1A"/>
                <w:sz w:val="18"/>
              </w:rPr>
              <w:t>该股板块内排名</w:t>
            </w:r>
          </w:p>
        </w:tc>
      </w:tr>
      <w:tr>
        <w:tc>
          <w:tcPr>
            <w:tcW w:type="dxa" w:w="2266"/>
          </w:tcPr>
          <w:p>
            <w:pPr>
              <w:spacing w:before="40" w:after="40" w:line="288" w:lineRule="auto"/>
            </w:pPr>
            <w:r/>
            <w:r>
              <w:rPr>
                <w:rFonts w:ascii="Microsoft YaHei" w:hAnsi="Microsoft YaHei"/>
                <w:sz w:val="18"/>
              </w:rPr>
              <w:t>钢铁(A股)</w:t>
            </w:r>
          </w:p>
        </w:tc>
        <w:tc>
          <w:tcPr>
            <w:tcW w:type="dxa" w:w="2266"/>
          </w:tcPr>
          <w:p>
            <w:pPr>
              <w:spacing w:before="40" w:after="40" w:line="288" w:lineRule="auto"/>
            </w:pPr>
            <w:r/>
            <w:r>
              <w:rPr>
                <w:rFonts w:ascii="Microsoft YaHei" w:hAnsi="Microsoft YaHei"/>
                <w:b/>
                <w:color w:val="1A1A1A"/>
                <w:sz w:val="18"/>
              </w:rPr>
              <w:t>-0.68%</w:t>
            </w:r>
          </w:p>
        </w:tc>
        <w:tc>
          <w:tcPr>
            <w:tcW w:type="dxa" w:w="2266"/>
          </w:tcPr>
          <w:p>
            <w:pPr>
              <w:spacing w:before="40" w:after="40" w:line="288" w:lineRule="auto"/>
            </w:pPr>
            <w:r/>
            <w:r>
              <w:rPr>
                <w:rFonts w:ascii="Microsoft YaHei" w:hAnsi="Microsoft YaHei"/>
                <w:sz w:val="18"/>
              </w:rPr>
              <w:t>347/1158</w:t>
            </w:r>
          </w:p>
        </w:tc>
        <w:tc>
          <w:tcPr>
            <w:tcW w:type="dxa" w:w="2266"/>
          </w:tcPr>
          <w:p>
            <w:pPr>
              <w:spacing w:before="40" w:after="40" w:line="288" w:lineRule="auto"/>
            </w:pPr>
            <w:r/>
            <w:r>
              <w:rPr>
                <w:rFonts w:ascii="Microsoft YaHei" w:hAnsi="Microsoft YaHei"/>
                <w:b/>
                <w:color w:val="1A1A1A"/>
                <w:sz w:val="18"/>
              </w:rPr>
              <w:t>10/48</w:t>
            </w:r>
          </w:p>
        </w:tc>
      </w:tr>
      <w:tr>
        <w:tc>
          <w:tcPr>
            <w:tcW w:type="dxa" w:w="2266"/>
            <w:shd w:fill="F8F9FA" w:val="clear"/>
          </w:tcPr>
          <w:p>
            <w:pPr>
              <w:spacing w:before="40" w:after="40" w:line="288" w:lineRule="auto"/>
            </w:pPr>
            <w:r/>
            <w:r>
              <w:rPr>
                <w:rFonts w:ascii="Microsoft YaHei" w:hAnsi="Microsoft YaHei"/>
                <w:sz w:val="18"/>
              </w:rPr>
              <w:t>金属与采矿(A股)</w:t>
            </w:r>
          </w:p>
        </w:tc>
        <w:tc>
          <w:tcPr>
            <w:tcW w:type="dxa" w:w="2266"/>
            <w:shd w:fill="F8F9FA" w:val="clear"/>
          </w:tcPr>
          <w:p>
            <w:pPr>
              <w:spacing w:before="40" w:after="40" w:line="288" w:lineRule="auto"/>
            </w:pPr>
            <w:r/>
            <w:r>
              <w:rPr>
                <w:rFonts w:ascii="Microsoft YaHei" w:hAnsi="Microsoft YaHei"/>
                <w:sz w:val="18"/>
              </w:rPr>
              <w:t>-2.03%</w:t>
            </w:r>
          </w:p>
        </w:tc>
        <w:tc>
          <w:tcPr>
            <w:tcW w:type="dxa" w:w="2266"/>
            <w:shd w:fill="F8F9FA" w:val="clear"/>
          </w:tcPr>
          <w:p>
            <w:pPr>
              <w:spacing w:before="40" w:after="40" w:line="288" w:lineRule="auto"/>
            </w:pPr>
            <w:r/>
            <w:r>
              <w:rPr>
                <w:rFonts w:ascii="Microsoft YaHei" w:hAnsi="Microsoft YaHei"/>
                <w:sz w:val="18"/>
              </w:rPr>
              <w:t>640/1158</w:t>
            </w:r>
          </w:p>
        </w:tc>
        <w:tc>
          <w:tcPr>
            <w:tcW w:type="dxa" w:w="2266"/>
            <w:shd w:fill="F8F9FA" w:val="clear"/>
          </w:tcPr>
          <w:p>
            <w:pPr>
              <w:spacing w:before="40" w:after="40" w:line="288" w:lineRule="auto"/>
            </w:pPr>
            <w:r/>
            <w:r>
              <w:rPr>
                <w:rFonts w:ascii="Microsoft YaHei" w:hAnsi="Microsoft YaHei"/>
                <w:sz w:val="18"/>
              </w:rPr>
              <w:t>35/204</w:t>
            </w:r>
          </w:p>
        </w:tc>
      </w:tr>
      <w:tr>
        <w:tc>
          <w:tcPr>
            <w:tcW w:type="dxa" w:w="2266"/>
          </w:tcPr>
          <w:p>
            <w:pPr>
              <w:spacing w:before="40" w:after="40" w:line="288" w:lineRule="auto"/>
            </w:pPr>
            <w:r/>
            <w:r>
              <w:rPr>
                <w:rFonts w:ascii="Microsoft YaHei" w:hAnsi="Microsoft YaHei"/>
                <w:sz w:val="18"/>
              </w:rPr>
              <w:t>中证500成份股</w:t>
            </w:r>
          </w:p>
        </w:tc>
        <w:tc>
          <w:tcPr>
            <w:tcW w:type="dxa" w:w="2266"/>
          </w:tcPr>
          <w:p>
            <w:pPr>
              <w:spacing w:before="40" w:after="40" w:line="288" w:lineRule="auto"/>
            </w:pPr>
            <w:r/>
            <w:r>
              <w:rPr>
                <w:rFonts w:ascii="Microsoft YaHei" w:hAnsi="Microsoft YaHei"/>
                <w:sz w:val="18"/>
              </w:rPr>
              <w:t>+0.27%</w:t>
            </w:r>
          </w:p>
        </w:tc>
        <w:tc>
          <w:tcPr>
            <w:tcW w:type="dxa" w:w="2266"/>
          </w:tcPr>
          <w:p>
            <w:pPr>
              <w:spacing w:before="40" w:after="40" w:line="288" w:lineRule="auto"/>
            </w:pPr>
            <w:r/>
            <w:r>
              <w:rPr>
                <w:rFonts w:ascii="Microsoft YaHei" w:hAnsi="Microsoft YaHei"/>
                <w:sz w:val="18"/>
              </w:rPr>
              <w:t>190/1158</w:t>
            </w:r>
          </w:p>
        </w:tc>
        <w:tc>
          <w:tcPr>
            <w:tcW w:type="dxa" w:w="2266"/>
          </w:tcPr>
          <w:p>
            <w:pPr>
              <w:spacing w:before="40" w:after="40" w:line="288" w:lineRule="auto"/>
            </w:pPr>
            <w:r/>
            <w:r>
              <w:rPr>
                <w:rFonts w:ascii="Microsoft YaHei" w:hAnsi="Microsoft YaHei"/>
                <w:sz w:val="18"/>
              </w:rPr>
              <w:t>204/550</w:t>
            </w:r>
          </w:p>
        </w:tc>
      </w:tr>
      <w:tr>
        <w:tc>
          <w:tcPr>
            <w:tcW w:type="dxa" w:w="2266"/>
            <w:shd w:fill="F8F9FA" w:val="clear"/>
          </w:tcPr>
          <w:p>
            <w:pPr>
              <w:spacing w:before="40" w:after="40" w:line="288" w:lineRule="auto"/>
            </w:pPr>
            <w:r/>
            <w:r>
              <w:rPr>
                <w:rFonts w:ascii="Microsoft YaHei" w:hAnsi="Microsoft YaHei"/>
                <w:sz w:val="18"/>
              </w:rPr>
              <w:t>煤化工概念</w:t>
            </w:r>
          </w:p>
        </w:tc>
        <w:tc>
          <w:tcPr>
            <w:tcW w:type="dxa" w:w="2266"/>
            <w:shd w:fill="F8F9FA" w:val="clear"/>
          </w:tcPr>
          <w:p>
            <w:pPr>
              <w:spacing w:before="40" w:after="40" w:line="288" w:lineRule="auto"/>
            </w:pPr>
            <w:r/>
            <w:r>
              <w:rPr>
                <w:rFonts w:ascii="Microsoft YaHei" w:hAnsi="Microsoft YaHei"/>
                <w:sz w:val="18"/>
              </w:rPr>
              <w:t>+1.31%</w:t>
            </w:r>
          </w:p>
        </w:tc>
        <w:tc>
          <w:tcPr>
            <w:tcW w:type="dxa" w:w="2266"/>
            <w:shd w:fill="F8F9FA" w:val="clear"/>
          </w:tcPr>
          <w:p>
            <w:pPr>
              <w:spacing w:before="40" w:after="40" w:line="288" w:lineRule="auto"/>
            </w:pPr>
            <w:r/>
            <w:r>
              <w:rPr>
                <w:rFonts w:ascii="Microsoft YaHei" w:hAnsi="Microsoft YaHei"/>
                <w:sz w:val="18"/>
              </w:rPr>
              <w:t>95/1158</w:t>
            </w:r>
          </w:p>
        </w:tc>
        <w:tc>
          <w:tcPr>
            <w:tcW w:type="dxa" w:w="2266"/>
            <w:shd w:fill="F8F9FA" w:val="clear"/>
          </w:tcPr>
          <w:p>
            <w:pPr>
              <w:spacing w:before="40" w:after="40" w:line="288" w:lineRule="auto"/>
            </w:pPr>
            <w:r/>
            <w:r>
              <w:rPr>
                <w:rFonts w:ascii="Microsoft YaHei" w:hAnsi="Microsoft YaHei"/>
                <w:sz w:val="18"/>
              </w:rPr>
              <w:t>53/109</w:t>
            </w:r>
          </w:p>
        </w:tc>
      </w:tr>
    </w:tbl>
    <w:p/>
    <w:p>
      <w:r>
        <w:rPr>
          <w:rFonts w:ascii="Microsoft YaHei" w:hAnsi="Microsoft YaHei"/>
          <w:b/>
          <w:color w:val="1A1A1A"/>
        </w:rPr>
        <w:t>钢铁板块整体表现稳健</w:t>
      </w:r>
      <w:r>
        <w:rPr>
          <w:rFonts w:ascii="Microsoft YaHei" w:hAnsi="Microsoft YaHei"/>
        </w:rPr>
        <w:t xml:space="preserve">，在 </w:t>
      </w:r>
      <w:r>
        <w:rPr>
          <w:rFonts w:ascii="Microsoft YaHei" w:hAnsi="Microsoft YaHei"/>
          <w:b/>
          <w:color w:val="1A1A1A"/>
        </w:rPr>
        <w:t>杭钢股份（+10.07%）</w:t>
      </w:r>
      <w:r>
        <w:rPr>
          <w:rFonts w:ascii="Microsoft YaHei" w:hAnsi="Microsoft YaHei"/>
        </w:rPr>
        <w:t xml:space="preserve"> 涨停带动下，板块内多只个股涨幅居前。鞍钢股份涨幅 </w:t>
      </w:r>
      <w:r>
        <w:rPr>
          <w:rFonts w:ascii="Microsoft YaHei" w:hAnsi="Microsoft YaHei"/>
          <w:b/>
          <w:color w:val="1A1A1A"/>
        </w:rPr>
        <w:t>2.06%</w:t>
      </w:r>
      <w:r>
        <w:rPr>
          <w:rFonts w:ascii="Microsoft YaHei" w:hAnsi="Microsoft YaHei"/>
        </w:rPr>
        <w:t xml:space="preserve"> 在板块48只成份股中排名 </w:t>
      </w:r>
      <w:r>
        <w:rPr>
          <w:rFonts w:ascii="Microsoft YaHei" w:hAnsi="Microsoft YaHei"/>
          <w:b/>
          <w:color w:val="1A1A1A"/>
        </w:rPr>
        <w:t>第10位</w:t>
      </w:r>
      <w:r>
        <w:rPr>
          <w:rFonts w:ascii="Microsoft YaHei" w:hAnsi="Microsoft YaHei"/>
        </w:rPr>
        <w:t xml:space="preserve">，处于上游水平，显示出 </w:t>
      </w:r>
      <w:r>
        <w:rPr>
          <w:rFonts w:ascii="Microsoft YaHei" w:hAnsi="Microsoft YaHei"/>
          <w:b/>
          <w:color w:val="1A1A1A"/>
        </w:rPr>
        <w:t>跟涨但不领涨</w:t>
      </w:r>
      <w:r>
        <w:rPr>
          <w:rFonts w:ascii="Microsoft YaHei" w:hAnsi="Microsoft YaHei"/>
        </w:rPr>
        <w:t xml:space="preserve"> 的特征。煤化工概念涨幅靠前（排名95/1158），也为公司提供了额外主题催化。</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综合研判</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维度</w:t>
            </w:r>
          </w:p>
        </w:tc>
        <w:tc>
          <w:tcPr>
            <w:tcW w:type="dxa" w:w="3022"/>
            <w:shd w:fill="F6F8FA" w:val="clear"/>
          </w:tcPr>
          <w:p>
            <w:pPr>
              <w:spacing w:before="40" w:after="40" w:line="288" w:lineRule="auto"/>
            </w:pPr>
            <w:r/>
            <w:r>
              <w:rPr>
                <w:rFonts w:ascii="Microsoft YaHei" w:hAnsi="Microsoft YaHei"/>
                <w:b/>
                <w:color w:val="1A1A1A"/>
                <w:sz w:val="18"/>
              </w:rPr>
              <w:t>评级</w:t>
            </w:r>
          </w:p>
        </w:tc>
        <w:tc>
          <w:tcPr>
            <w:tcW w:type="dxa" w:w="3022"/>
            <w:shd w:fill="F6F8FA" w:val="clear"/>
          </w:tcPr>
          <w:p>
            <w:pPr>
              <w:spacing w:before="40" w:after="40" w:line="288" w:lineRule="auto"/>
            </w:pPr>
            <w:r/>
            <w:r>
              <w:rPr>
                <w:rFonts w:ascii="Microsoft YaHei" w:hAnsi="Microsoft YaHei"/>
                <w:b/>
                <w:color w:val="1A1A1A"/>
                <w:sz w:val="18"/>
              </w:rPr>
              <w:t>依据</w:t>
            </w:r>
          </w:p>
        </w:tc>
      </w:tr>
      <w:tr>
        <w:tc>
          <w:tcPr>
            <w:tcW w:type="dxa" w:w="3022"/>
          </w:tcPr>
          <w:p>
            <w:pPr>
              <w:spacing w:before="40" w:after="40" w:line="288" w:lineRule="auto"/>
            </w:pPr>
            <w:r/>
            <w:r>
              <w:rPr>
                <w:rFonts w:ascii="Microsoft YaHei" w:hAnsi="Microsoft YaHei"/>
                <w:sz w:val="18"/>
              </w:rPr>
              <w:t>量价配合</w:t>
            </w:r>
          </w:p>
        </w:tc>
        <w:tc>
          <w:tcPr>
            <w:tcW w:type="dxa" w:w="3022"/>
          </w:tcPr>
          <w:p>
            <w:pPr>
              <w:spacing w:before="40" w:after="40" w:line="288" w:lineRule="auto"/>
            </w:pPr>
            <w:r/>
            <w:r>
              <w:rPr>
                <w:rFonts w:ascii="Microsoft YaHei" w:hAnsi="Microsoft YaHei"/>
                <w:sz w:val="18"/>
              </w:rPr>
              <w:t>✅ 偏多</w:t>
            </w:r>
          </w:p>
        </w:tc>
        <w:tc>
          <w:tcPr>
            <w:tcW w:type="dxa" w:w="3022"/>
          </w:tcPr>
          <w:p>
            <w:pPr>
              <w:spacing w:before="40" w:after="40" w:line="288" w:lineRule="auto"/>
            </w:pPr>
            <w:r/>
            <w:r>
              <w:rPr>
                <w:rFonts w:ascii="Microsoft YaHei" w:hAnsi="Microsoft YaHei"/>
                <w:sz w:val="18"/>
              </w:rPr>
              <w:t>放量上涨，外盘优于内盘，量比1.26</w:t>
            </w:r>
          </w:p>
        </w:tc>
      </w:tr>
      <w:tr>
        <w:tc>
          <w:tcPr>
            <w:tcW w:type="dxa" w:w="3022"/>
            <w:shd w:fill="F8F9FA" w:val="clear"/>
          </w:tcPr>
          <w:p>
            <w:pPr>
              <w:spacing w:before="40" w:after="40" w:line="288" w:lineRule="auto"/>
            </w:pPr>
            <w:r/>
            <w:r>
              <w:rPr>
                <w:rFonts w:ascii="Microsoft YaHei" w:hAnsi="Microsoft YaHei"/>
                <w:sz w:val="18"/>
              </w:rPr>
              <w:t>资金面</w:t>
            </w:r>
          </w:p>
        </w:tc>
        <w:tc>
          <w:tcPr>
            <w:tcW w:type="dxa" w:w="3022"/>
            <w:shd w:fill="F8F9FA" w:val="clear"/>
          </w:tcPr>
          <w:p>
            <w:pPr>
              <w:spacing w:before="40" w:after="40" w:line="288" w:lineRule="auto"/>
            </w:pPr>
            <w:r/>
            <w:r>
              <w:rPr>
                <w:rFonts w:ascii="Microsoft YaHei" w:hAnsi="Microsoft YaHei"/>
                <w:sz w:val="18"/>
              </w:rPr>
              <w:t>⚠️ 谨慎</w:t>
            </w:r>
          </w:p>
        </w:tc>
        <w:tc>
          <w:tcPr>
            <w:tcW w:type="dxa" w:w="3022"/>
            <w:shd w:fill="F8F9FA" w:val="clear"/>
          </w:tcPr>
          <w:p>
            <w:pPr>
              <w:spacing w:before="40" w:after="40" w:line="288" w:lineRule="auto"/>
            </w:pPr>
            <w:r/>
            <w:r>
              <w:rPr>
                <w:rFonts w:ascii="Microsoft YaHei" w:hAnsi="Microsoft YaHei"/>
                <w:sz w:val="18"/>
              </w:rPr>
              <w:t>盘中净流出127.77万，融资低迷融券高位</w:t>
            </w:r>
          </w:p>
        </w:tc>
      </w:tr>
      <w:tr>
        <w:tc>
          <w:tcPr>
            <w:tcW w:type="dxa" w:w="3022"/>
          </w:tcPr>
          <w:p>
            <w:pPr>
              <w:spacing w:before="40" w:after="40" w:line="288" w:lineRule="auto"/>
            </w:pPr>
            <w:r/>
            <w:r>
              <w:rPr>
                <w:rFonts w:ascii="Microsoft YaHei" w:hAnsi="Microsoft YaHei"/>
                <w:sz w:val="18"/>
              </w:rPr>
              <w:t>技术面</w:t>
            </w:r>
          </w:p>
        </w:tc>
        <w:tc>
          <w:tcPr>
            <w:tcW w:type="dxa" w:w="3022"/>
          </w:tcPr>
          <w:p>
            <w:pPr>
              <w:spacing w:before="40" w:after="40" w:line="288" w:lineRule="auto"/>
            </w:pPr>
            <w:r/>
            <w:r>
              <w:rPr>
                <w:rFonts w:ascii="Microsoft YaHei" w:hAnsi="Microsoft YaHei"/>
                <w:sz w:val="18"/>
              </w:rPr>
              <w:t>✅ 偏多</w:t>
            </w:r>
          </w:p>
        </w:tc>
        <w:tc>
          <w:tcPr>
            <w:tcW w:type="dxa" w:w="3022"/>
          </w:tcPr>
          <w:p>
            <w:pPr>
              <w:spacing w:before="40" w:after="40" w:line="288" w:lineRule="auto"/>
            </w:pPr>
            <w:r/>
            <w:r>
              <w:rPr>
                <w:rFonts w:ascii="Microsoft YaHei" w:hAnsi="Microsoft YaHei"/>
                <w:sz w:val="18"/>
              </w:rPr>
              <w:t>站稳MA5/MA10/MA20多头排列，逼近布林上轨</w:t>
            </w:r>
          </w:p>
        </w:tc>
      </w:tr>
      <w:tr>
        <w:tc>
          <w:tcPr>
            <w:tcW w:type="dxa" w:w="3022"/>
            <w:shd w:fill="F8F9FA" w:val="clear"/>
          </w:tcPr>
          <w:p>
            <w:pPr>
              <w:spacing w:before="40" w:after="40" w:line="288" w:lineRule="auto"/>
            </w:pPr>
            <w:r/>
            <w:r>
              <w:rPr>
                <w:rFonts w:ascii="Microsoft YaHei" w:hAnsi="Microsoft YaHei"/>
                <w:sz w:val="18"/>
              </w:rPr>
              <w:t>基本面</w:t>
            </w:r>
          </w:p>
        </w:tc>
        <w:tc>
          <w:tcPr>
            <w:tcW w:type="dxa" w:w="3022"/>
            <w:shd w:fill="F8F9FA" w:val="clear"/>
          </w:tcPr>
          <w:p>
            <w:pPr>
              <w:spacing w:before="40" w:after="40" w:line="288" w:lineRule="auto"/>
            </w:pPr>
            <w:r/>
            <w:r>
              <w:rPr>
                <w:rFonts w:ascii="Microsoft YaHei" w:hAnsi="Microsoft YaHei"/>
                <w:sz w:val="18"/>
              </w:rPr>
              <w:t>❌ 偏空</w:t>
            </w:r>
          </w:p>
        </w:tc>
        <w:tc>
          <w:tcPr>
            <w:tcW w:type="dxa" w:w="3022"/>
            <w:shd w:fill="F8F9FA" w:val="clear"/>
          </w:tcPr>
          <w:p>
            <w:pPr>
              <w:spacing w:before="40" w:after="40" w:line="288" w:lineRule="auto"/>
            </w:pPr>
            <w:r/>
            <w:r>
              <w:rPr>
                <w:rFonts w:ascii="Microsoft YaHei" w:hAnsi="Microsoft YaHei"/>
                <w:sz w:val="18"/>
              </w:rPr>
              <w:t>Q1大幅亏损，行业需求疲弱</w:t>
            </w:r>
          </w:p>
        </w:tc>
      </w:tr>
      <w:tr>
        <w:tc>
          <w:tcPr>
            <w:tcW w:type="dxa" w:w="3022"/>
          </w:tcPr>
          <w:p>
            <w:pPr>
              <w:spacing w:before="40" w:after="40" w:line="288" w:lineRule="auto"/>
            </w:pPr>
            <w:r/>
            <w:r>
              <w:rPr>
                <w:rFonts w:ascii="Microsoft YaHei" w:hAnsi="Microsoft YaHei"/>
                <w:sz w:val="18"/>
              </w:rPr>
              <w:t>消息面</w:t>
            </w:r>
          </w:p>
        </w:tc>
        <w:tc>
          <w:tcPr>
            <w:tcW w:type="dxa" w:w="3022"/>
          </w:tcPr>
          <w:p>
            <w:pPr>
              <w:spacing w:before="40" w:after="40" w:line="288" w:lineRule="auto"/>
            </w:pPr>
            <w:r/>
            <w:r>
              <w:rPr>
                <w:rFonts w:ascii="Microsoft YaHei" w:hAnsi="Microsoft YaHei"/>
                <w:sz w:val="18"/>
              </w:rPr>
              <w:t>✅ 偏多</w:t>
            </w:r>
          </w:p>
        </w:tc>
        <w:tc>
          <w:tcPr>
            <w:tcW w:type="dxa" w:w="3022"/>
          </w:tcPr>
          <w:p>
            <w:pPr>
              <w:spacing w:before="40" w:after="40" w:line="288" w:lineRule="auto"/>
            </w:pPr>
            <w:r/>
            <w:r>
              <w:rPr>
                <w:rFonts w:ascii="Microsoft YaHei" w:hAnsi="Microsoft YaHei"/>
                <w:sz w:val="18"/>
              </w:rPr>
              <w:t>世界500强+双通道物流+比亚迪深度合作</w:t>
            </w:r>
          </w:p>
        </w:tc>
      </w:tr>
    </w:tbl>
    <w:p/>
    <w:p>
      <w:r>
        <w:rPr>
          <w:rFonts w:ascii="Microsoft YaHei" w:hAnsi="Microsoft YaHei"/>
          <w:b/>
          <w:color w:val="1A1A1A"/>
        </w:rPr>
        <w:t>主力观点总结：</w:t>
      </w:r>
    </w:p>
    <w:p>
      <w:r>
        <w:rPr>
          <w:rFonts w:ascii="Microsoft YaHei" w:hAnsi="Microsoft YaHei"/>
        </w:rPr>
        <w:t xml:space="preserve">鞍钢股份今日呈现 </w:t>
      </w:r>
      <w:r>
        <w:rPr>
          <w:rFonts w:ascii="Microsoft YaHei" w:hAnsi="Microsoft YaHei"/>
          <w:b/>
          <w:color w:val="1A1A1A"/>
        </w:rPr>
        <w:t>"消息驱动+技术修复"</w:t>
      </w:r>
      <w:r>
        <w:rPr>
          <w:rFonts w:ascii="Microsoft YaHei" w:hAnsi="Microsoft YaHei"/>
        </w:rPr>
        <w:t xml:space="preserve"> 式反弹。世界500强上榜与物流体系升级构成情绪催化，叠加钢铁板块内杭钢股份涨停的联动效应，推动股价放量上涨 </w:t>
      </w:r>
      <w:r>
        <w:rPr>
          <w:rFonts w:ascii="Microsoft YaHei" w:hAnsi="Microsoft YaHei"/>
          <w:b/>
          <w:color w:val="1A1A1A"/>
        </w:rPr>
        <w:t>2.06%</w:t>
      </w:r>
      <w:r>
        <w:rPr>
          <w:rFonts w:ascii="Microsoft YaHei" w:hAnsi="Microsoft YaHei"/>
        </w:rPr>
        <w:t xml:space="preserve"> 至 </w:t>
      </w:r>
      <w:r>
        <w:rPr>
          <w:rFonts w:ascii="Microsoft YaHei" w:hAnsi="Microsoft YaHei"/>
          <w:b/>
          <w:color w:val="1A1A1A"/>
        </w:rPr>
        <w:t>1.98元</w:t>
      </w:r>
      <w:r>
        <w:rPr>
          <w:rFonts w:ascii="Microsoft YaHei" w:hAnsi="Microsoft YaHei"/>
        </w:rPr>
        <w:t>，并成功站稳各短期均线。</w:t>
      </w:r>
    </w:p>
    <w:p>
      <w:r>
        <w:rPr>
          <w:rFonts w:ascii="Microsoft YaHei" w:hAnsi="Microsoft YaHei"/>
        </w:rPr>
        <w:t>但需要警惕的是，</w:t>
      </w:r>
      <w:r>
        <w:rPr>
          <w:rFonts w:ascii="Microsoft YaHei" w:hAnsi="Microsoft YaHei"/>
          <w:b/>
          <w:color w:val="1A1A1A"/>
        </w:rPr>
        <w:t>资金面与股价存在背离</w:t>
      </w:r>
      <w:r>
        <w:rPr>
          <w:rFonts w:ascii="Microsoft YaHei" w:hAnsi="Microsoft YaHei"/>
        </w:rPr>
        <w:t xml:space="preserve">——盘中净流出 </w:t>
      </w:r>
      <w:r>
        <w:rPr>
          <w:rFonts w:ascii="Microsoft YaHei" w:hAnsi="Microsoft YaHei"/>
          <w:b/>
          <w:color w:val="1A1A1A"/>
        </w:rPr>
        <w:t>127.77万元</w:t>
      </w:r>
      <w:r>
        <w:rPr>
          <w:rFonts w:ascii="Microsoft YaHei" w:hAnsi="Microsoft YaHei"/>
        </w:rPr>
        <w:t xml:space="preserve">，融资余额处于近一年 </w:t>
      </w:r>
      <w:r>
        <w:rPr>
          <w:rFonts w:ascii="Microsoft YaHei" w:hAnsi="Microsoft YaHei"/>
          <w:b/>
          <w:color w:val="1A1A1A"/>
        </w:rPr>
        <w:t>20%分位</w:t>
      </w:r>
      <w:r>
        <w:rPr>
          <w:rFonts w:ascii="Microsoft YaHei" w:hAnsi="Microsoft YaHei"/>
        </w:rPr>
        <w:t xml:space="preserve"> 低位，融券余额处于 </w:t>
      </w:r>
      <w:r>
        <w:rPr>
          <w:rFonts w:ascii="Microsoft YaHei" w:hAnsi="Microsoft YaHei"/>
          <w:b/>
          <w:color w:val="1A1A1A"/>
        </w:rPr>
        <w:t>90%分位</w:t>
      </w:r>
      <w:r>
        <w:rPr>
          <w:rFonts w:ascii="Microsoft YaHei" w:hAnsi="Microsoft YaHei"/>
        </w:rPr>
        <w:t xml:space="preserve"> 高位，暗示主力资金对持续上涨持保留态度。同时，</w:t>
      </w:r>
      <w:r>
        <w:rPr>
          <w:rFonts w:ascii="Microsoft YaHei" w:hAnsi="Microsoft YaHei"/>
          <w:b/>
          <w:color w:val="1A1A1A"/>
        </w:rPr>
        <w:t>Q1亏损14.57亿元</w:t>
      </w:r>
      <w:r>
        <w:rPr>
          <w:rFonts w:ascii="Microsoft YaHei" w:hAnsi="Microsoft YaHei"/>
        </w:rPr>
        <w:t xml:space="preserve"> 的基本面压力并未消除，股价距布林上轨 </w:t>
      </w:r>
      <w:r>
        <w:rPr>
          <w:rFonts w:ascii="Microsoft YaHei" w:hAnsi="Microsoft YaHei"/>
          <w:b/>
          <w:color w:val="1A1A1A"/>
        </w:rPr>
        <w:t>2.02元</w:t>
      </w:r>
      <w:r>
        <w:rPr>
          <w:rFonts w:ascii="Microsoft YaHei" w:hAnsi="Microsoft YaHei"/>
        </w:rPr>
        <w:t xml:space="preserve"> 仅2%空间，短期面临技术压力。</w:t>
      </w:r>
    </w:p>
    <w:p>
      <w:r>
        <w:rPr>
          <w:rFonts w:ascii="Microsoft YaHei" w:hAnsi="Microsoft YaHei"/>
        </w:rPr>
        <w:t xml:space="preserve">综合来看，今日的上涨更多是 </w:t>
      </w:r>
      <w:r>
        <w:rPr>
          <w:rFonts w:ascii="Microsoft YaHei" w:hAnsi="Microsoft YaHei"/>
          <w:b/>
          <w:color w:val="1A1A1A"/>
        </w:rPr>
        <w:t>短期情绪修复</w:t>
      </w:r>
      <w:r>
        <w:rPr>
          <w:rFonts w:ascii="Microsoft YaHei" w:hAnsi="Microsoft YaHei"/>
        </w:rPr>
        <w:t xml:space="preserve"> 和 </w:t>
      </w:r>
      <w:r>
        <w:rPr>
          <w:rFonts w:ascii="Microsoft YaHei" w:hAnsi="Microsoft YaHei"/>
          <w:b/>
          <w:color w:val="1A1A1A"/>
        </w:rPr>
        <w:t>事件驱动</w:t>
      </w:r>
      <w:r>
        <w:rPr>
          <w:rFonts w:ascii="Microsoft YaHei" w:hAnsi="Microsoft YaHei"/>
        </w:rPr>
        <w:t xml:space="preserve"> 的反弹，持续性取决于后续量能能否进一步放大以及钢铁行业供需格局能否改善。短线关注布林上轨 </w:t>
      </w:r>
      <w:r>
        <w:rPr>
          <w:rFonts w:ascii="Microsoft YaHei" w:hAnsi="Microsoft YaHei"/>
          <w:b/>
          <w:color w:val="1A1A1A"/>
        </w:rPr>
        <w:t>2.02元</w:t>
      </w:r>
      <w:r>
        <w:rPr>
          <w:rFonts w:ascii="Microsoft YaHei" w:hAnsi="Microsoft YaHei"/>
        </w:rPr>
        <w:t xml:space="preserve"> 阻力位能否突破，下方支撑关注 </w:t>
      </w:r>
      <w:r>
        <w:rPr>
          <w:rFonts w:ascii="Microsoft YaHei" w:hAnsi="Microsoft YaHei"/>
          <w:b/>
          <w:color w:val="1A1A1A"/>
        </w:rPr>
        <w:t>1.95元（MA10）</w:t>
      </w:r>
      <w:r>
        <w:rPr>
          <w:rFonts w:ascii="Microsoft YaHei" w:hAnsi="Microsoft YaHei"/>
        </w:rPr>
        <w:t xml:space="preserve"> 一线。</w:t>
      </w:r>
    </w:p>
    <w:p>
      <w:r>
        <w:rPr>
          <w:rFonts w:ascii="Microsoft YaHei" w:hAnsi="Microsoft YaHei"/>
        </w:rPr>
        <w:t xml:space="preserve">&gt; ⚠️ </w:t>
      </w:r>
      <w:r>
        <w:rPr>
          <w:rFonts w:ascii="Microsoft YaHei" w:hAnsi="Microsoft YaHei"/>
          <w:b/>
          <w:color w:val="1A1A1A"/>
        </w:rPr>
        <w:t>风险提示</w:t>
      </w:r>
      <w:r>
        <w:rPr>
          <w:rFonts w:ascii="Microsoft YaHei" w:hAnsi="Microsoft YaHei"/>
        </w:rPr>
        <w:t>：以上分析基于公开数据，不构成投资建议。钢铁行业受宏观经济、原材料价格、下游需求等多重因素影响，投资需谨慎。</w:t>
      </w:r>
    </w:p>
    <w:sectPr w:rsidR="00FC693F" w:rsidRPr="0006063C" w:rsidSect="00034616">
      <w:headerReference w:type="default" r:id="rId9"/>
      <w:footerReference w:type="default" r:id="rId10"/>
      <w:pgSz w:w="12240" w:h="15840"/>
      <w:pgMar w:top="1134"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5"/>
      </w:rPr>
      <w:t xml:space="preserve">— </w:t>
      <w:fldChar w:fldCharType="begin"/>
      <w:instrText xml:space="preserve"> PAGE </w:instrText>
      <w:fldChar w:fldCharType="end"/>
    </w:r>
    <w:r>
      <w:rPr>
        <w:color w:val="999999"/>
        <w:sz w:val="15"/>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999999"/>
        <w:sz w:val="15"/>
      </w:rPr>
      <w:t>鞍钢股份  |  数据截止 11:30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Microsoft YaHei" w:hAnsi="Microsoft YaHei" w:eastAsia="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Microsoft YaHei" w:hAnsi="Microsoft YaHei" w:eastAsia="Microsoft YaHe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Microsoft YaHei" w:hAnsi="Microsoft YaHei" w:eastAsia="Microsoft YaHe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