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Checklist Oficial de Entrega — Projeto Final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Antes de submeter o seu projeto final, revise este checklist com atenção.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Cada nível possui requisitos específicos de entrega. Escolha a seção correspondente ao seu nível e marque todos os itens para garantir a nota máxima!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📌 Regras Gerais (Válidas para Todos os Níveis)</w:t>
      </w:r>
    </w:p>
    <w:p>
      <w:pPr>
        <w:pStyle w:val="ListBullet"/>
        <w:spacing w:before="20" w:after="20"/>
      </w:pPr>
      <w:r>
        <w:t>[ ] O arquivo de entrega está no formato Markdown (</w:t>
      </w:r>
      <w:r>
        <w:rPr>
          <w:rFonts w:ascii="Consolas" w:hAnsi="Consolas"/>
          <w:color w:val="B42828"/>
          <w:sz w:val="19"/>
        </w:rPr>
        <w:t>.md</w:t>
      </w:r>
      <w:r>
        <w:t>) ou PDF/Word devidamente exportado sem formatação quebrada.</w:t>
      </w:r>
    </w:p>
    <w:p>
      <w:pPr>
        <w:pStyle w:val="ListBullet"/>
        <w:spacing w:before="20" w:after="20"/>
      </w:pPr>
      <w:r>
        <w:t>[ ] Seu nome completo e turma (</w:t>
      </w:r>
      <w:r>
        <w:rPr>
          <w:b/>
        </w:rPr>
        <w:t>DevSecOps 1746</w:t>
      </w:r>
      <w:r>
        <w:t>) estão preenchidos no cabeçalho do relatório.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Transição de Trilhas:</w:t>
      </w:r>
      <w:r>
        <w:t xml:space="preserve"> Caso tenha iniciado em uma trilha e decidido migrar (upgrade ou fallback seguro), verifique se o template submetido corresponde à trilha final escolhida (consulte [</w:t>
      </w:r>
      <w:r>
        <w:rPr>
          <w:rFonts w:ascii="Consolas" w:hAnsi="Consolas"/>
          <w:color w:val="B42828"/>
          <w:sz w:val="19"/>
        </w:rPr>
        <w:t>ENUNCIADO.md</w:t>
      </w:r>
      <w:r>
        <w:t>](./ENUNCIADO.md#11-regra-de-transição-fluida-entre-trilhas--aterrissagem-segura)).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Validação Local:</w:t>
      </w:r>
      <w:r>
        <w:t xml:space="preserve"> Para Níveis 2 e 3, utilizou os comandos de inspeção e autochecagem do [</w:t>
      </w:r>
      <w:r>
        <w:rPr>
          <w:rFonts w:ascii="Consolas" w:hAnsi="Consolas"/>
          <w:color w:val="B42828"/>
          <w:sz w:val="19"/>
        </w:rPr>
        <w:t>PLANO_DE_TESTES_DEBUGGING.md</w:t>
      </w:r>
      <w:r>
        <w:t>](./PLANO_DE_TESTES_DEBUGGING.md) antes de enviar os commits.</w:t>
      </w:r>
    </w:p>
    <w:p>
      <w:pPr>
        <w:pStyle w:val="ListBullet"/>
        <w:spacing w:before="20" w:after="20"/>
      </w:pPr>
      <w:r>
        <w:t>[ ] Todas as respostas são de sua autoria original ou com citações claras e justificadas.</w:t>
      </w:r>
    </w:p>
    <w:p>
      <w:pPr>
        <w:pStyle w:val="ListBullet"/>
        <w:spacing w:before="20" w:after="20"/>
      </w:pPr>
      <w:r>
        <w:t xml:space="preserve">[ ] A entrega foi realizada dentro das orientações e antes do prazo limite estipulado pela </w:t>
      </w:r>
      <w:r>
        <w:rPr>
          <w:b/>
        </w:rPr>
        <w:t>professora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🛡️ Nível 1 — Teórica Guiada</w:t>
      </w:r>
    </w:p>
    <w:p>
      <w:pPr>
        <w:spacing w:before="40" w:after="80"/>
      </w:pPr>
      <w:r>
        <w:t xml:space="preserve">Você </w:t>
      </w:r>
      <w:r>
        <w:rPr>
          <w:b/>
        </w:rPr>
        <w:t>não</w:t>
      </w:r>
      <w:r>
        <w:t xml:space="preserve"> precisa alterar código-fonte nem abrir Pull Requests no GitHub. Sua entrega é exclusivamente o relatório preenchido com base nas evidências pré-geradas.</w:t>
      </w:r>
    </w:p>
    <w:p>
      <w:pPr>
        <w:pStyle w:val="Heading3"/>
        <w:spacing w:before="200" w:after="40"/>
      </w:pPr>
      <w:r>
        <w:t>Arquivos e Conteúdo:</w:t>
      </w:r>
    </w:p>
    <w:p>
      <w:pPr>
        <w:pStyle w:val="ListBullet"/>
        <w:spacing w:before="20" w:after="20"/>
      </w:pPr>
      <w:r>
        <w:t xml:space="preserve">[ ] O relatório </w:t>
      </w:r>
      <w:r>
        <w:rPr>
          <w:rFonts w:ascii="Consolas" w:hAnsi="Consolas"/>
          <w:color w:val="B42828"/>
          <w:sz w:val="19"/>
        </w:rPr>
        <w:t>aluno/TEMPLATE_TG.md</w:t>
      </w:r>
      <w:r>
        <w:t xml:space="preserve"> (ou via Word em </w:t>
      </w:r>
      <w:r>
        <w:rPr>
          <w:rFonts w:ascii="Consolas" w:hAnsi="Consolas"/>
          <w:color w:val="B42828"/>
          <w:sz w:val="19"/>
        </w:rPr>
        <w:t>docs/docx/TEMPLATE_TG.docx</w:t>
      </w:r>
      <w:r>
        <w:t>) foi preenchido por completo.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Guia de Apoio:</w:t>
      </w:r>
      <w:r>
        <w:t xml:space="preserve"> Consultou o [</w:t>
      </w:r>
      <w:r>
        <w:rPr>
          <w:rFonts w:ascii="Consolas" w:hAnsi="Consolas"/>
          <w:color w:val="B42828"/>
          <w:sz w:val="19"/>
        </w:rPr>
        <w:t>GUIA_NIVEL_1_TEORICO.md</w:t>
      </w:r>
      <w:r>
        <w:t>](./GUIA_NIVEL_1_TEORICO.md) para apoiar seu raciocínio com analogias e sem vazamento de respostas.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Caso 1 (F1):</w:t>
      </w:r>
      <w:r>
        <w:t xml:space="preserve"> O exemplo resolvido serviu de base para as suas respostas.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Caso 2 (F2 - Dependências SCA):</w:t>
      </w:r>
      <w:r>
        <w:t xml:space="preserve"> Lacunas preenchidas com as categorias STRIDE, pilar CIA e impacto comercial do Clube Aurora.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Caso 3 (F3 - Injeção de SQL):</w:t>
      </w:r>
      <w:r>
        <w:t xml:space="preserve"> Lacunas preenchidas correlacionando a f-string com o risco de vazamento de dados de clientes VIP.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Caso 4 (F4 - Hardening de Contêiner):</w:t>
      </w:r>
      <w:r>
        <w:t xml:space="preserve"> Lacunas preenchidas explicando os riscos de usar </w:t>
      </w:r>
      <w:r>
        <w:rPr>
          <w:rFonts w:ascii="Consolas" w:hAnsi="Consolas"/>
          <w:color w:val="B42828"/>
          <w:sz w:val="19"/>
        </w:rPr>
        <w:t>:latest</w:t>
      </w:r>
      <w:r>
        <w:t xml:space="preserve"> e contêiner rodando como </w:t>
      </w:r>
      <w:r>
        <w:rPr>
          <w:rFonts w:ascii="Consolas" w:hAnsi="Consolas"/>
          <w:color w:val="B42828"/>
          <w:sz w:val="19"/>
        </w:rPr>
        <w:t>root</w:t>
      </w:r>
      <w:r>
        <w:t>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Parte 2 (Governança e RBAC):</w:t>
      </w:r>
      <w:r>
        <w:t xml:space="preserve"> Proposta de recusa técnica ao pedido do Tio Armando para conceder admin total à gerente Carla, aplicando o princípio de Menor Privilégio e Segregação de Funções (SoD).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Parte 3 (Observabilidade):</w:t>
      </w:r>
      <w:r>
        <w:t xml:space="preserve"> Listagem de eventos mínimos de auditoria que a aplicação deveria registrar em banco de dados.</w:t>
      </w:r>
    </w:p>
    <w:p>
      <w:pPr>
        <w:pStyle w:val="Heading3"/>
        <w:spacing w:before="200" w:after="40"/>
      </w:pPr>
      <w:r>
        <w:t>Envio:</w:t>
      </w:r>
    </w:p>
    <w:p>
      <w:pPr>
        <w:pStyle w:val="ListBullet"/>
        <w:spacing w:before="20" w:after="20"/>
      </w:pPr>
      <w:r>
        <w:t xml:space="preserve">[ ] Relatório </w:t>
      </w:r>
      <w:r>
        <w:rPr>
          <w:rFonts w:ascii="Consolas" w:hAnsi="Consolas"/>
          <w:color w:val="B42828"/>
          <w:sz w:val="19"/>
        </w:rPr>
        <w:t>TEMPLATE_TG.md</w:t>
      </w:r>
      <w:r>
        <w:t xml:space="preserve"> salvo e submetido para avaliação da </w:t>
      </w:r>
      <w:r>
        <w:rPr>
          <w:b/>
        </w:rPr>
        <w:t>professora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⚖️ Nível 2 — Misto</w:t>
      </w:r>
    </w:p>
    <w:p>
      <w:pPr>
        <w:spacing w:before="40" w:after="80"/>
      </w:pPr>
      <w:r>
        <w:t>Você combina correções práticas em 3 falhas (</w:t>
      </w:r>
      <w:r>
        <w:rPr>
          <w:b/>
        </w:rPr>
        <w:t>F1, F2, F4</w:t>
      </w:r>
      <w:r>
        <w:t>) com análise conceitual de 4 falhas (</w:t>
      </w:r>
      <w:r>
        <w:rPr>
          <w:b/>
        </w:rPr>
        <w:t>F3, F5, F6, F7</w:t>
      </w:r>
      <w:r>
        <w:t>).</w:t>
      </w:r>
    </w:p>
    <w:p>
      <w:pPr>
        <w:pStyle w:val="Heading3"/>
        <w:spacing w:before="200" w:after="40"/>
      </w:pPr>
      <w:r>
        <w:t>No Repositório (Código e Git):</w:t>
      </w:r>
    </w:p>
    <w:p>
      <w:pPr>
        <w:pStyle w:val="ListBullet"/>
        <w:spacing w:before="20" w:after="20"/>
      </w:pPr>
      <w:r>
        <w:t>[ ] Fork do repositório original criado na sua conta do GitHub.</w:t>
      </w:r>
    </w:p>
    <w:p>
      <w:pPr>
        <w:pStyle w:val="ListBullet"/>
        <w:spacing w:before="20" w:after="20"/>
      </w:pPr>
      <w:r>
        <w:t xml:space="preserve">[ ] GitHub Actions ativado na aba </w:t>
      </w:r>
      <w:r>
        <w:rPr>
          <w:b/>
        </w:rPr>
        <w:t>Actions</w:t>
      </w:r>
      <w:r>
        <w:t xml:space="preserve"> do seu fork.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F1 Corrigido:</w:t>
      </w:r>
      <w:r>
        <w:t xml:space="preserve"> Arquivo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contém </w:t>
      </w:r>
      <w:r>
        <w:rPr>
          <w:rFonts w:ascii="Consolas" w:hAnsi="Consolas"/>
          <w:color w:val="B42828"/>
          <w:sz w:val="19"/>
        </w:rPr>
        <w:t>.env</w:t>
      </w:r>
      <w:r>
        <w:t xml:space="preserve">;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foi desindexado do Git (</w:t>
      </w:r>
      <w:r>
        <w:rPr>
          <w:rFonts w:ascii="Consolas" w:hAnsi="Consolas"/>
          <w:color w:val="B42828"/>
          <w:sz w:val="19"/>
        </w:rPr>
        <w:t>git rm --cached .env</w:t>
      </w:r>
      <w:r>
        <w:t xml:space="preserve">); arquivo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foi criado com valores de exemplo seguros.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F2 Corrigido:</w:t>
      </w:r>
      <w:r>
        <w:t xml:space="preserve"> Arquivo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atualizado com versões seguras de Flask, Werkzeug, Gunicorn e Urllib3.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F4 Corrigido:</w:t>
      </w:r>
      <w:r>
        <w:t xml:space="preserve"> Arquivo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endurecido com imagem base específica (</w:t>
      </w:r>
      <w:r>
        <w:rPr>
          <w:rFonts w:ascii="Consolas" w:hAnsi="Consolas"/>
          <w:color w:val="B42828"/>
          <w:sz w:val="19"/>
        </w:rPr>
        <w:t>python:3.11-slim</w:t>
      </w:r>
      <w:r>
        <w:t xml:space="preserve">), usuário não-root e instrução </w:t>
      </w:r>
      <w:r>
        <w:rPr>
          <w:rFonts w:ascii="Consolas" w:hAnsi="Consolas"/>
          <w:color w:val="B42828"/>
          <w:sz w:val="19"/>
        </w:rPr>
        <w:t>HEALTHCHECK</w:t>
      </w:r>
      <w:r>
        <w:t>.</w:t>
      </w:r>
    </w:p>
    <w:p>
      <w:pPr>
        <w:pStyle w:val="ListBullet"/>
        <w:spacing w:before="20" w:after="20"/>
      </w:pPr>
      <w:r>
        <w:t>[ ] Commits realizados com mensagens claras no padrão Conventional Commits.</w:t>
      </w:r>
    </w:p>
    <w:p>
      <w:pPr>
        <w:pStyle w:val="ListBullet"/>
        <w:spacing w:before="20" w:after="20"/>
      </w:pPr>
      <w:r>
        <w:t xml:space="preserve">[ ] Pull Request aberto da sua branch de desenvolvimento para a branch </w:t>
      </w:r>
      <w:r>
        <w:rPr>
          <w:rFonts w:ascii="Consolas" w:hAnsi="Consolas"/>
          <w:color w:val="B42828"/>
          <w:sz w:val="19"/>
        </w:rPr>
        <w:t>main</w:t>
      </w:r>
      <w:r>
        <w:t xml:space="preserve"> do seu fork.</w:t>
      </w:r>
    </w:p>
    <w:p>
      <w:pPr>
        <w:pStyle w:val="Heading3"/>
        <w:spacing w:before="200" w:after="40"/>
      </w:pPr>
      <w:r>
        <w:t>No Relatório (`aluno/TEMPLATE_TM.md`):</w:t>
      </w:r>
    </w:p>
    <w:p>
      <w:pPr>
        <w:pStyle w:val="ListBullet"/>
        <w:spacing w:before="20" w:after="20"/>
      </w:pPr>
      <w:r>
        <w:t xml:space="preserve">[ ] O relatório </w:t>
      </w:r>
      <w:r>
        <w:rPr>
          <w:rFonts w:ascii="Consolas" w:hAnsi="Consolas"/>
          <w:color w:val="B42828"/>
          <w:sz w:val="19"/>
        </w:rPr>
        <w:t>aluno/TEMPLATE_TM.md</w:t>
      </w:r>
      <w:r>
        <w:t xml:space="preserve"> (ou via Word em </w:t>
      </w:r>
      <w:r>
        <w:rPr>
          <w:rFonts w:ascii="Consolas" w:hAnsi="Consolas"/>
          <w:color w:val="B42828"/>
          <w:sz w:val="19"/>
        </w:rPr>
        <w:t>docs/docx/TEMPLATE_TM.docx</w:t>
      </w:r>
      <w:r>
        <w:t>) foi preenchido.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Guia de Apoio:</w:t>
      </w:r>
      <w:r>
        <w:t xml:space="preserve"> Consultou o [</w:t>
      </w:r>
      <w:r>
        <w:rPr>
          <w:rFonts w:ascii="Consolas" w:hAnsi="Consolas"/>
          <w:color w:val="B42828"/>
          <w:sz w:val="19"/>
        </w:rPr>
        <w:t>GUIA_NIVEL_2_MISTO.md</w:t>
      </w:r>
      <w:r>
        <w:t>](./GUIA_NIVEL_2_MISTO.md) para orientações sobre as correções de F1, F2, F4 e modelagem de ameaças.</w:t>
      </w:r>
    </w:p>
    <w:p>
      <w:pPr>
        <w:pStyle w:val="ListBullet"/>
        <w:spacing w:before="20" w:after="20"/>
      </w:pPr>
      <w:r>
        <w:t>[ ] Tabela de modelagem de ameaças (STRIDE e Tríade CIA) preenchida para F3, F5, F6 e F7 (utilizando o exemplo resolvido de F3 do guia como referência).</w:t>
      </w:r>
    </w:p>
    <w:p>
      <w:pPr>
        <w:pStyle w:val="ListBullet"/>
        <w:spacing w:before="20" w:after="20"/>
      </w:pPr>
      <w:r>
        <w:t>[ ] Parecer técnico de Governança e RBAC sobre a solicitação do Tio Armando e Carla.</w:t>
      </w:r>
    </w:p>
    <w:p>
      <w:pPr>
        <w:pStyle w:val="ListBullet"/>
        <w:spacing w:before="20" w:after="20"/>
      </w:pPr>
      <w:r>
        <w:t>[ ] Planejamento de eventos de auditoria e observabilidade contra ataques.</w:t>
      </w:r>
    </w:p>
    <w:p>
      <w:pPr>
        <w:pStyle w:val="ListBullet"/>
        <w:spacing w:before="20" w:after="20"/>
      </w:pPr>
      <w:r>
        <w:t>[ ] Prints ou links dos steps de Hadolint e Trivy FS passando com status verde no GitHub Actions.</w:t>
      </w:r>
    </w:p>
    <w:p>
      <w:pPr>
        <w:pStyle w:val="Heading3"/>
        <w:spacing w:before="200" w:after="40"/>
      </w:pPr>
      <w:r>
        <w:t>Envio:</w:t>
      </w:r>
    </w:p>
    <w:p>
      <w:pPr>
        <w:pStyle w:val="ListBullet"/>
        <w:spacing w:before="20" w:after="20"/>
      </w:pPr>
      <w:r>
        <w:t>[ ] Link do repositório/fork e link do Pull Request informados no relatório.</w:t>
      </w:r>
    </w:p>
    <w:p>
      <w:pPr>
        <w:pStyle w:val="ListBullet"/>
        <w:spacing w:before="20" w:after="20"/>
      </w:pPr>
      <w:r>
        <w:t xml:space="preserve">[ ] Relatório </w:t>
      </w:r>
      <w:r>
        <w:rPr>
          <w:rFonts w:ascii="Consolas" w:hAnsi="Consolas"/>
          <w:color w:val="B42828"/>
          <w:sz w:val="19"/>
        </w:rPr>
        <w:t>TEMPLATE_TM.md</w:t>
      </w:r>
      <w:r>
        <w:t xml:space="preserve"> devidamente submetido para avaliação da </w:t>
      </w:r>
      <w:r>
        <w:rPr>
          <w:b/>
        </w:rPr>
        <w:t>professora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🚀 Nível 3 — Técnica</w:t>
      </w:r>
    </w:p>
    <w:p>
      <w:pPr>
        <w:spacing w:before="40" w:after="80"/>
      </w:pPr>
      <w:r>
        <w:t>Você atua como Engenheiro(a) DevSecOps responsável por zerar todas as 7 vulnerabilidades e garantir os gates 100% verdes.</w:t>
      </w:r>
    </w:p>
    <w:p>
      <w:pPr>
        <w:pStyle w:val="Heading3"/>
        <w:spacing w:before="200" w:after="40"/>
      </w:pPr>
      <w:r>
        <w:t>No Repositório (Código e Pipeline):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Guia de Apoio:</w:t>
      </w:r>
      <w:r>
        <w:t xml:space="preserve"> Consultou o [</w:t>
      </w:r>
      <w:r>
        <w:rPr>
          <w:rFonts w:ascii="Consolas" w:hAnsi="Consolas"/>
          <w:color w:val="B42828"/>
          <w:sz w:val="19"/>
        </w:rPr>
        <w:t>GUIA_NIVEL_3_TECNICO.md</w:t>
      </w:r>
      <w:r>
        <w:t>](./GUIA_NIVEL_3_TECNICO.md) e o [</w:t>
      </w:r>
      <w:r>
        <w:rPr>
          <w:rFonts w:ascii="Consolas" w:hAnsi="Consolas"/>
          <w:color w:val="B42828"/>
          <w:sz w:val="19"/>
        </w:rPr>
        <w:t>PLANO_DE_TESTES_DEBUGGING.md</w:t>
      </w:r>
      <w:r>
        <w:t>](./PLANO_DE_TESTES_DEBUGGING.md) para depurar e validar localmente as 7 correções.</w:t>
      </w:r>
    </w:p>
    <w:p>
      <w:pPr>
        <w:pStyle w:val="ListBullet"/>
        <w:spacing w:before="20" w:after="20"/>
      </w:pPr>
      <w:r>
        <w:t>[ ] Fork criado e GitHub Actions ativo.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F1:</w:t>
      </w:r>
      <w:r>
        <w:t xml:space="preserve"> Higiene de segredos completa (</w:t>
      </w:r>
      <w:r>
        <w:rPr>
          <w:rFonts w:ascii="Consolas" w:hAnsi="Consolas"/>
          <w:color w:val="B42828"/>
          <w:sz w:val="19"/>
        </w:rPr>
        <w:t>.gitignore</w:t>
      </w:r>
      <w:r>
        <w:t xml:space="preserve">,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, </w:t>
      </w:r>
      <w:r>
        <w:rPr>
          <w:rFonts w:ascii="Consolas" w:hAnsi="Consolas"/>
          <w:color w:val="B42828"/>
          <w:sz w:val="19"/>
        </w:rPr>
        <w:t>.env</w:t>
      </w:r>
      <w:r>
        <w:t xml:space="preserve"> desindexado).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F2:</w:t>
      </w:r>
      <w:r>
        <w:t xml:space="preserve">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com versões seguras sem CVEs (</w:t>
      </w:r>
      <w:r>
        <w:rPr>
          <w:rFonts w:ascii="Consolas" w:hAnsi="Consolas"/>
          <w:color w:val="B42828"/>
          <w:sz w:val="19"/>
        </w:rPr>
        <w:t>Total: 0</w:t>
      </w:r>
      <w:r>
        <w:t xml:space="preserve"> no Trivy FS).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F3:</w:t>
      </w:r>
      <w:r>
        <w:t xml:space="preserve"> Consulta SQL em </w:t>
      </w:r>
      <w:r>
        <w:rPr>
          <w:rFonts w:ascii="Consolas" w:hAnsi="Consolas"/>
          <w:color w:val="B42828"/>
          <w:sz w:val="19"/>
        </w:rPr>
        <w:t>app/db.py</w:t>
      </w:r>
      <w:r>
        <w:t xml:space="preserve"> convertida para consulta parametrizada com </w:t>
      </w:r>
      <w:r>
        <w:rPr>
          <w:rFonts w:ascii="Consolas" w:hAnsi="Consolas"/>
          <w:color w:val="B42828"/>
          <w:sz w:val="19"/>
        </w:rPr>
        <w:t>?</w:t>
      </w:r>
      <w:r>
        <w:t xml:space="preserve"> (</w:t>
      </w:r>
      <w:r>
        <w:rPr>
          <w:rFonts w:ascii="Consolas" w:hAnsi="Consolas"/>
          <w:color w:val="B42828"/>
          <w:sz w:val="19"/>
        </w:rPr>
        <w:t>0 findings</w:t>
      </w:r>
      <w:r>
        <w:t xml:space="preserve"> no Semgrep).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F4:</w:t>
      </w:r>
      <w:r>
        <w:t xml:space="preserve">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endurecido com multi-stage build, usuário </w:t>
      </w:r>
      <w:r>
        <w:rPr>
          <w:rFonts w:ascii="Consolas" w:hAnsi="Consolas"/>
          <w:color w:val="B42828"/>
          <w:sz w:val="19"/>
        </w:rPr>
        <w:t>nonroot</w:t>
      </w:r>
      <w:r>
        <w:t xml:space="preserve">, </w:t>
      </w:r>
      <w:r>
        <w:rPr>
          <w:rFonts w:ascii="Consolas" w:hAnsi="Consolas"/>
          <w:color w:val="B42828"/>
          <w:sz w:val="19"/>
        </w:rPr>
        <w:t>apt-get upgrade</w:t>
      </w:r>
      <w:r>
        <w:t xml:space="preserve"> e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(</w:t>
      </w:r>
      <w:r>
        <w:rPr>
          <w:rFonts w:ascii="Consolas" w:hAnsi="Consolas"/>
          <w:color w:val="B42828"/>
          <w:sz w:val="19"/>
        </w:rPr>
        <w:t>DL3007</w:t>
      </w:r>
      <w:r>
        <w:t xml:space="preserve"> resolvido e </w:t>
      </w:r>
      <w:r>
        <w:rPr>
          <w:rFonts w:ascii="Consolas" w:hAnsi="Consolas"/>
          <w:color w:val="B42828"/>
          <w:sz w:val="19"/>
        </w:rPr>
        <w:t>Total: 0</w:t>
      </w:r>
      <w:r>
        <w:t xml:space="preserve"> no Trivy Image).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F5:</w:t>
      </w:r>
      <w:r>
        <w:t xml:space="preserve"> Cabeçalhos de segurança HTTP injetados na aplicação (</w:t>
      </w:r>
      <w:r>
        <w:rPr>
          <w:rFonts w:ascii="Consolas" w:hAnsi="Consolas"/>
          <w:color w:val="B42828"/>
          <w:sz w:val="19"/>
        </w:rPr>
        <w:t>Content-Security-Policy</w:t>
      </w:r>
      <w:r>
        <w:t xml:space="preserve">, </w:t>
      </w:r>
      <w:r>
        <w:rPr>
          <w:rFonts w:ascii="Consolas" w:hAnsi="Consolas"/>
          <w:color w:val="B42828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Strict-Transport-Security</w:t>
      </w:r>
      <w:r>
        <w:t>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F6:</w:t>
      </w:r>
      <w:r>
        <w:t xml:space="preserve"> Privilégio mínimo garantido em </w:t>
      </w:r>
      <w:r>
        <w:rPr>
          <w:rFonts w:ascii="Consolas" w:hAnsi="Consolas"/>
          <w:color w:val="B42828"/>
          <w:sz w:val="19"/>
        </w:rPr>
        <w:t>app/db.py</w:t>
      </w:r>
      <w:r>
        <w:t xml:space="preserve"> (</w:t>
      </w:r>
      <w:r>
        <w:rPr>
          <w:rFonts w:ascii="Consolas" w:hAnsi="Consolas"/>
          <w:color w:val="B42828"/>
          <w:sz w:val="19"/>
        </w:rPr>
        <w:t>role="client"</w:t>
      </w:r>
      <w:r>
        <w:t xml:space="preserve">) e trava de autorização </w:t>
      </w:r>
      <w:r>
        <w:rPr>
          <w:rFonts w:ascii="Consolas" w:hAnsi="Consolas"/>
          <w:color w:val="B42828"/>
          <w:sz w:val="19"/>
        </w:rPr>
        <w:t>@auth.require_role("admin")</w:t>
      </w:r>
      <w:r>
        <w:t xml:space="preserve"> em </w:t>
      </w:r>
      <w:r>
        <w:rPr>
          <w:rFonts w:ascii="Consolas" w:hAnsi="Consolas"/>
          <w:color w:val="B42828"/>
          <w:sz w:val="19"/>
        </w:rPr>
        <w:t>app/main.py</w:t>
      </w:r>
      <w:r>
        <w:t>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F7:</w:t>
      </w:r>
      <w:r>
        <w:t xml:space="preserve"> </w:t>
      </w:r>
      <w:r>
        <w:rPr>
          <w:rFonts w:ascii="Consolas" w:hAnsi="Consolas"/>
          <w:color w:val="B42828"/>
          <w:sz w:val="19"/>
        </w:rPr>
        <w:t>docker-compose.yml</w:t>
      </w:r>
      <w:r>
        <w:t xml:space="preserve"> saneado sem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, sem </w:t>
      </w:r>
      <w:r>
        <w:rPr>
          <w:rFonts w:ascii="Consolas" w:hAnsi="Consolas"/>
          <w:color w:val="B42828"/>
          <w:sz w:val="19"/>
        </w:rPr>
        <w:t>/var/run/docker.sock</w:t>
      </w:r>
      <w:r>
        <w:t xml:space="preserve"> montado e com portas seguras.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Testes de Aplicação:</w:t>
      </w:r>
      <w:r>
        <w:t xml:space="preserve"> Os testes unitários executam com sucesso (</w:t>
      </w:r>
      <w:r>
        <w:rPr>
          <w:rFonts w:ascii="Consolas" w:hAnsi="Consolas"/>
          <w:color w:val="B42828"/>
          <w:sz w:val="19"/>
        </w:rPr>
        <w:t>pytest -v</w:t>
      </w:r>
      <w:r>
        <w:t xml:space="preserve"> verde).</w:t>
      </w:r>
    </w:p>
    <w:p>
      <w:pPr>
        <w:pStyle w:val="ListBullet"/>
        <w:spacing w:before="20" w:after="20"/>
      </w:pPr>
      <w:r>
        <w:t xml:space="preserve">[ ] </w:t>
      </w:r>
      <w:r>
        <w:rPr>
          <w:b/>
        </w:rPr>
        <w:t>Validador:</w:t>
      </w:r>
      <w:r>
        <w:t xml:space="preserve"> O script </w:t>
      </w:r>
      <w:r>
        <w:rPr>
          <w:rFonts w:ascii="Consolas" w:hAnsi="Consolas"/>
          <w:color w:val="B42828"/>
          <w:sz w:val="19"/>
        </w:rPr>
        <w:t>python professor/validate.py .</w:t>
      </w:r>
      <w:r>
        <w:t xml:space="preserve"> (ou </w:t>
      </w:r>
      <w:r>
        <w:rPr>
          <w:rFonts w:ascii="Consolas" w:hAnsi="Consolas"/>
          <w:color w:val="B42828"/>
          <w:sz w:val="19"/>
        </w:rPr>
        <w:t>.ps1</w:t>
      </w:r>
      <w:r>
        <w:t>) valida 7/7 falhas corrigidas.</w:t>
      </w:r>
    </w:p>
    <w:p>
      <w:pPr>
        <w:pStyle w:val="Heading3"/>
        <w:spacing w:before="200" w:after="40"/>
      </w:pPr>
      <w:r>
        <w:t>No GitHub Actions:</w:t>
      </w:r>
    </w:p>
    <w:p>
      <w:pPr>
        <w:pStyle w:val="ListBullet"/>
        <w:spacing w:before="20" w:after="20"/>
      </w:pPr>
      <w:r>
        <w:t xml:space="preserve">[ ] Job </w:t>
      </w:r>
      <w:r>
        <w:rPr>
          <w:rFonts w:ascii="Consolas" w:hAnsi="Consolas"/>
          <w:color w:val="B42828"/>
          <w:sz w:val="19"/>
        </w:rPr>
        <w:t>pipeline-estatica</w:t>
      </w:r>
      <w:r>
        <w:t xml:space="preserve"> 100% verde (Hadolint, Trivy FS, Semgrep).</w:t>
      </w:r>
    </w:p>
    <w:p>
      <w:pPr>
        <w:pStyle w:val="ListBullet"/>
        <w:spacing w:before="20" w:after="20"/>
      </w:pPr>
      <w:r>
        <w:t xml:space="preserve">[ ] Job </w:t>
      </w:r>
      <w:r>
        <w:rPr>
          <w:rFonts w:ascii="Consolas" w:hAnsi="Consolas"/>
          <w:color w:val="B42828"/>
          <w:sz w:val="19"/>
        </w:rPr>
        <w:t>pipeline-dinamica</w:t>
      </w:r>
      <w:r>
        <w:t xml:space="preserve"> 100% verde (Trivy Image zerado, aplicação rodando e ZAP Baseline com zero erros críticos).</w:t>
      </w:r>
    </w:p>
    <w:p>
      <w:pPr>
        <w:pStyle w:val="ListBullet"/>
        <w:spacing w:before="20" w:after="20"/>
      </w:pPr>
      <w:r>
        <w:t xml:space="preserve">[ ] Pull Request aberto para a branch </w:t>
      </w:r>
      <w:r>
        <w:rPr>
          <w:rFonts w:ascii="Consolas" w:hAnsi="Consolas"/>
          <w:color w:val="B42828"/>
          <w:sz w:val="19"/>
        </w:rPr>
        <w:t>main</w:t>
      </w:r>
      <w:r>
        <w:t xml:space="preserve"> do seu fork contendo o histórico atômico dos seus commits.</w:t>
      </w:r>
    </w:p>
    <w:p>
      <w:pPr>
        <w:pStyle w:val="Heading3"/>
        <w:spacing w:before="200" w:after="40"/>
      </w:pPr>
      <w:r>
        <w:t>No Relatório (`aluno/TEMPLATE_EVIDENCIAS.md`):</w:t>
      </w:r>
    </w:p>
    <w:p>
      <w:pPr>
        <w:pStyle w:val="ListBullet"/>
        <w:spacing w:before="20" w:after="20"/>
      </w:pPr>
      <w:r>
        <w:t xml:space="preserve">[ ] O relatório </w:t>
      </w:r>
      <w:r>
        <w:rPr>
          <w:rFonts w:ascii="Consolas" w:hAnsi="Consolas"/>
          <w:color w:val="B42828"/>
          <w:sz w:val="19"/>
        </w:rPr>
        <w:t>aluno/TEMPLATE_EVIDENCIAS.md</w:t>
      </w:r>
      <w:r>
        <w:t xml:space="preserve"> (ou via Word em </w:t>
      </w:r>
      <w:r>
        <w:rPr>
          <w:rFonts w:ascii="Consolas" w:hAnsi="Consolas"/>
          <w:color w:val="B42828"/>
          <w:sz w:val="19"/>
        </w:rPr>
        <w:t>docs/docx/TEMPLATE_EVIDENCIAS.docx</w:t>
      </w:r>
      <w:r>
        <w:t>) foi preenchido.</w:t>
      </w:r>
    </w:p>
    <w:p>
      <w:pPr>
        <w:pStyle w:val="ListBullet"/>
        <w:spacing w:before="20" w:after="20"/>
      </w:pPr>
      <w:r>
        <w:t>[ ] Links do repositório e do Pull Request preenchidos.</w:t>
      </w:r>
    </w:p>
    <w:p>
      <w:pPr>
        <w:pStyle w:val="ListBullet"/>
        <w:spacing w:before="20" w:after="20"/>
      </w:pPr>
      <w:r>
        <w:t>[ ] Prints comprovando o pipeline antes (vermelho) e depois (verde).</w:t>
      </w:r>
    </w:p>
    <w:p>
      <w:pPr>
        <w:pStyle w:val="ListBullet"/>
        <w:spacing w:before="20" w:after="20"/>
      </w:pPr>
      <w:r>
        <w:t>[ ] Tabela comparativa de cada uma das 7 correções preenchida.</w:t>
      </w:r>
    </w:p>
    <w:p>
      <w:pPr>
        <w:pStyle w:val="ListBullet"/>
        <w:spacing w:before="20" w:after="20"/>
      </w:pPr>
      <w:r>
        <w:t xml:space="preserve">[ ] (Opcional/Bônus): Registro formal de exceção de risco em </w:t>
      </w:r>
      <w:r>
        <w:rPr>
          <w:rFonts w:ascii="Consolas" w:hAnsi="Consolas"/>
          <w:color w:val="B42828"/>
          <w:sz w:val="19"/>
        </w:rPr>
        <w:t>.trivyignore</w:t>
      </w:r>
      <w:r>
        <w:t>, geração de SBOM ou branch protection rules documentados.</w:t>
      </w:r>
    </w:p>
    <w:p>
      <w:pPr>
        <w:pStyle w:val="Heading3"/>
        <w:spacing w:before="200" w:after="40"/>
      </w:pPr>
      <w:r>
        <w:t>Envio:</w:t>
      </w:r>
    </w:p>
    <w:p>
      <w:pPr>
        <w:pStyle w:val="ListBullet"/>
        <w:spacing w:before="20" w:after="20"/>
      </w:pPr>
      <w:r>
        <w:t xml:space="preserve">[ ] Relatório </w:t>
      </w:r>
      <w:r>
        <w:rPr>
          <w:rFonts w:ascii="Consolas" w:hAnsi="Consolas"/>
          <w:color w:val="B42828"/>
          <w:sz w:val="19"/>
        </w:rPr>
        <w:t>TEMPLATE_EVIDENCIAS.md</w:t>
      </w:r>
      <w:r>
        <w:t xml:space="preserve"> e links ativos do fork/PR submetidos para avaliação da </w:t>
      </w:r>
      <w:r>
        <w:rPr>
          <w:b/>
        </w:rPr>
        <w:t>professora</w:t>
      </w:r>
      <w: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