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Glossário Prático de DevSecOps</w:t>
      </w:r>
    </w:p>
    <w:p>
      <w:pPr>
        <w:pStyle w:val="Heading2"/>
        <w:spacing w:before="240" w:after="80"/>
      </w:pPr>
      <w:r>
        <w:t>Projeto Final DevSecOps — Clube Aurora (Turma 1746)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Consulte as definições e termos técnicos abaixo para fundamentar a elaboração do seu projeto e relatórios em qualquer uma das três trilhas (</w:t>
      </w:r>
      <w:r>
        <w:rPr>
          <w:b/>
        </w:rPr>
        <w:t>Nível 1 — Teórica Guiada, Nível 2 — Misto e Nível 3 — Técnica</w:t>
      </w:r>
      <w: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🛡️ Metodologias &amp; Conceitos Fundamentais</w:t>
      </w:r>
    </w:p>
    <w:p>
      <w:pPr>
        <w:pStyle w:val="ListBullet"/>
        <w:spacing w:before="20" w:after="20"/>
      </w:pPr>
      <w:r>
        <w:rPr>
          <w:b/>
        </w:rPr>
        <w:t>Shift-Left Security:</w:t>
      </w:r>
      <w:r>
        <w:t xml:space="preserve"> A prática de mover a segurança para as fases iniciais do ciclo de desenvolvimento de software (na máquina do desenvolvedor, no linter e no primeiro commit), em vez de esperar a aplicação estar pronta ou implantada em produção para realizar testes de penetração.</w:t>
      </w:r>
    </w:p>
    <w:p>
      <w:pPr>
        <w:pStyle w:val="ListBullet"/>
        <w:spacing w:before="20" w:after="20"/>
      </w:pPr>
      <w:r>
        <w:rPr>
          <w:b/>
        </w:rPr>
        <w:t>Tríade CIA (Confidencialidade, Integridade, Disponibilidade):</w:t>
      </w:r>
    </w:p>
    <w:p>
      <w:pPr>
        <w:pStyle w:val="ListBullet"/>
        <w:spacing w:before="20" w:after="20"/>
      </w:pPr>
      <w:r>
        <w:rPr>
          <w:b/>
        </w:rPr>
        <w:t>Confidencialidade:</w:t>
      </w:r>
      <w:r>
        <w:t xml:space="preserve"> Garantir que dados sensíveis (como credenciais, senhas e informações VIP de clientes) sejam acessíveis exclusivamente por identidades autorizadas.</w:t>
      </w:r>
    </w:p>
    <w:p>
      <w:pPr>
        <w:pStyle w:val="ListBullet"/>
        <w:spacing w:before="20" w:after="20"/>
      </w:pPr>
      <w:r>
        <w:rPr>
          <w:b/>
        </w:rPr>
        <w:t>Integridade:</w:t>
      </w:r>
      <w:r>
        <w:t xml:space="preserve"> Assegurar que os dados, parâmetros e códigos não sofram adulteração, injeção ou corrupção não autorizada.</w:t>
      </w:r>
    </w:p>
    <w:p>
      <w:pPr>
        <w:pStyle w:val="ListBullet"/>
        <w:spacing w:before="20" w:after="20"/>
      </w:pPr>
      <w:r>
        <w:rPr>
          <w:b/>
        </w:rPr>
        <w:t>Disponibilidade:</w:t>
      </w:r>
      <w:r>
        <w:t xml:space="preserve"> Garantir que o sistema, serviços e bancos de dados permaneçam operacionais e responsivos aos usuários legítimos.</w:t>
      </w:r>
    </w:p>
    <w:p>
      <w:pPr>
        <w:pStyle w:val="ListBullet"/>
        <w:spacing w:before="20" w:after="20"/>
      </w:pPr>
      <w:r>
        <w:rPr>
          <w:b/>
        </w:rPr>
        <w:t>Modelagem de Ameaças STRIDE:</w:t>
      </w:r>
    </w:p>
    <w:p>
      <w:pPr>
        <w:pStyle w:val="ListBullet"/>
        <w:spacing w:before="20" w:after="20"/>
      </w:pPr>
      <w:r>
        <w:rPr>
          <w:b/>
        </w:rPr>
        <w:t>S</w:t>
      </w:r>
      <w:r>
        <w:t>poofing (Falsificação de Identidade / Assumir a conta de outro usuário).</w:t>
      </w:r>
    </w:p>
    <w:p>
      <w:pPr>
        <w:pStyle w:val="ListBullet"/>
        <w:spacing w:before="20" w:after="20"/>
      </w:pPr>
      <w:r>
        <w:rPr>
          <w:b/>
        </w:rPr>
        <w:t>T</w:t>
      </w:r>
      <w:r>
        <w:t>ampering (Adulteração de Dados ou Código em trânsito ou repouso).</w:t>
      </w:r>
    </w:p>
    <w:p>
      <w:pPr>
        <w:pStyle w:val="ListBullet"/>
        <w:spacing w:before="20" w:after="20"/>
      </w:pPr>
      <w:r>
        <w:rPr>
          <w:b/>
        </w:rPr>
        <w:t>R</w:t>
      </w:r>
      <w:r>
        <w:t>epudiation (Repúdio / Incapacidade de auditar e comprovar a autoria de uma ação).</w:t>
      </w:r>
    </w:p>
    <w:p>
      <w:pPr>
        <w:pStyle w:val="ListBullet"/>
        <w:spacing w:before="20" w:after="20"/>
      </w:pPr>
      <w:r>
        <w:rPr>
          <w:b/>
        </w:rPr>
        <w:t>I</w:t>
      </w:r>
      <w:r>
        <w:t>nformation Disclosure (Vazamento de Informação / Acesso a dados sigilosos).</w:t>
      </w:r>
    </w:p>
    <w:p>
      <w:pPr>
        <w:pStyle w:val="ListBullet"/>
        <w:spacing w:before="20" w:after="20"/>
      </w:pPr>
      <w:r>
        <w:rPr>
          <w:b/>
        </w:rPr>
        <w:t>D</w:t>
      </w:r>
      <w:r>
        <w:t>enial of Service (Negação de Serviço / Indisponibilidade por sobrecarga ou travamento).</w:t>
      </w:r>
    </w:p>
    <w:p>
      <w:pPr>
        <w:pStyle w:val="ListBullet"/>
        <w:spacing w:before="20" w:after="20"/>
      </w:pPr>
      <w:r>
        <w:rPr>
          <w:b/>
        </w:rPr>
        <w:t>E</w:t>
      </w:r>
      <w:r>
        <w:t>levation of Privilege (Elevação de Privilégio / Usuário comum obtendo permissões administrativas).</w:t>
      </w:r>
    </w:p>
    <w:p>
      <w:pPr>
        <w:pStyle w:val="ListBullet"/>
        <w:spacing w:before="20" w:after="20"/>
      </w:pPr>
      <w:r>
        <w:rPr>
          <w:b/>
        </w:rPr>
        <w:t>Princípio do Menor Privilégio (Least Privilege):</w:t>
      </w:r>
      <w:r>
        <w:t xml:space="preserve"> Regra fundamental segundo a qual cada usuário, processo, contêiner ou serviço deve possuir estritamente as permissões mínimas essenciais para realizar sua atividade de negócio, e nenhuma autorização excedente.</w:t>
      </w:r>
    </w:p>
    <w:p>
      <w:pPr>
        <w:pStyle w:val="ListBullet"/>
        <w:spacing w:before="20" w:after="20"/>
      </w:pPr>
      <w:r>
        <w:rPr>
          <w:b/>
        </w:rPr>
        <w:t>Segregação de Funções (SoD - Separation of Duties):</w:t>
      </w:r>
      <w:r>
        <w:t xml:space="preserve"> Princípio de governança que impede que uma única pessoa concentre poderes excessivos que permitam cometer e encobrir fraudes (ex: um operador não deve ser capaz de criar e aprovar transações financeiras sem dupla custódia).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🔍 Tipos de Análise e Ferramentas</w:t>
      </w:r>
    </w:p>
    <w:p>
      <w:pPr>
        <w:pStyle w:val="ListBullet"/>
        <w:spacing w:before="20" w:after="20"/>
      </w:pPr>
      <w:r>
        <w:rPr>
          <w:b/>
        </w:rPr>
        <w:t>SAST (Static Application Security Testing):</w:t>
      </w:r>
      <w:r>
        <w:t xml:space="preserve"> Análise estática que inspeciona o código-fonte sem executá-lo, procurando vulnerabilidades lógicas, injeções de comandos e padrões inseguros (exemplo: Semgrep).</w:t>
      </w:r>
    </w:p>
    <w:p>
      <w:pPr>
        <w:pStyle w:val="ListBullet"/>
        <w:spacing w:before="20" w:after="20"/>
      </w:pPr>
      <w:r>
        <w:rPr>
          <w:b/>
        </w:rPr>
        <w:t>SCA (Software Composition Analysis):</w:t>
      </w:r>
      <w:r>
        <w:t xml:space="preserve"> Varredura automatizada de dependências e bibliotecas externas declaradas no projeto para identificar falhas públicas conhecidas (CVEs) e violações de licenças de software (exemplo: Trivy fs).</w:t>
      </w:r>
    </w:p>
    <w:p>
      <w:pPr>
        <w:pStyle w:val="ListBullet"/>
        <w:spacing w:before="20" w:after="20"/>
      </w:pPr>
      <w:r>
        <w:rPr>
          <w:b/>
        </w:rPr>
        <w:t>DAST (Dynamic Application Security Testing):</w:t>
      </w:r>
      <w:r>
        <w:t xml:space="preserve"> Análise dinâmica que avalia a aplicação em tempo de execução através de testes de caixa-preta via rede HTTP, simulando ataques externos para detectar cabeçalhos faltantes, falhas de sessão e erros de configuração (exemplo: OWASP ZAP).</w:t>
      </w:r>
    </w:p>
    <w:p>
      <w:pPr>
        <w:pStyle w:val="ListBullet"/>
        <w:spacing w:before="20" w:after="20"/>
      </w:pPr>
      <w:r>
        <w:rPr>
          <w:b/>
        </w:rPr>
        <w:t>Container Hardening:</w:t>
      </w:r>
      <w:r>
        <w:t xml:space="preserve"> Conjunto de práticas defensivas para blindar contêineres e imagens Docker contra ataques e escapes para o hospedeiro (ex: compilação multi-stage, uso de usuário não-root, imagens base minimalistas e instruções de healthcheck).</w:t>
      </w:r>
    </w:p>
    <w:p>
      <w:pPr>
        <w:pStyle w:val="ListBullet"/>
        <w:spacing w:before="20" w:after="20"/>
      </w:pPr>
      <w:r>
        <w:rPr>
          <w:b/>
        </w:rPr>
        <w:t>Misconfiguration (Má Configuração):</w:t>
      </w:r>
      <w:r>
        <w:t xml:space="preserve"> Falhas decorrentes de parâmetros frouxos ou perigosos em arquivos de infraestrutura como código (IaC), tais como executar contêineres em modo </w:t>
      </w:r>
      <w:r>
        <w:rPr>
          <w:rFonts w:ascii="Consolas" w:hAnsi="Consolas"/>
          <w:color w:val="B42828"/>
          <w:sz w:val="19"/>
        </w:rPr>
        <w:t>privileged</w:t>
      </w:r>
      <w:r>
        <w:t>, montar o socket do Docker (</w:t>
      </w:r>
      <w:r>
        <w:rPr>
          <w:rFonts w:ascii="Consolas" w:hAnsi="Consolas"/>
          <w:color w:val="B42828"/>
          <w:sz w:val="19"/>
        </w:rPr>
        <w:t>/var/run/docker.sock</w:t>
      </w:r>
      <w:r>
        <w:t>) ou expor portas de debug.</w:t>
      </w:r>
    </w:p>
    <w:p>
      <w:pPr>
        <w:pStyle w:val="ListBullet"/>
        <w:spacing w:before="20" w:after="20"/>
      </w:pPr>
      <w:r>
        <w:rPr>
          <w:b/>
        </w:rPr>
        <w:t>SBOM (Software Bill of Materials):</w:t>
      </w:r>
      <w:r>
        <w:t xml:space="preserve"> O "inventário formal de componentes" digital em padrão aberto (como SPDX ou CycloneDX) que lista todas as bibliotecas, módulos de terceiros e versões contidas no artefato compilado.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⚙️ Engenharia de CI/CD e Git</w:t>
      </w:r>
    </w:p>
    <w:p>
      <w:pPr>
        <w:pStyle w:val="ListBullet"/>
        <w:spacing w:before="20" w:after="20"/>
      </w:pPr>
      <w:r>
        <w:rPr>
          <w:b/>
        </w:rPr>
        <w:t>CVE (Common Vulnerabilities and Exposures):</w:t>
      </w:r>
      <w:r>
        <w:t xml:space="preserve"> Dicionário público e padronizado que atribui um identificador único internacional (ex: </w:t>
      </w:r>
      <w:r>
        <w:rPr>
          <w:rFonts w:ascii="Consolas" w:hAnsi="Consolas"/>
          <w:color w:val="B42828"/>
          <w:sz w:val="19"/>
        </w:rPr>
        <w:t>CVE-2024-1135</w:t>
      </w:r>
      <w:r>
        <w:t>) a falhas de segurança conhecidas em componentes de software.</w:t>
      </w:r>
    </w:p>
    <w:p>
      <w:pPr>
        <w:pStyle w:val="ListBullet"/>
        <w:spacing w:before="20" w:after="20"/>
      </w:pPr>
      <w:r>
        <w:rPr>
          <w:b/>
        </w:rPr>
        <w:t>SARIF (Static Analysis Results Interchange Format):</w:t>
      </w:r>
      <w:r>
        <w:t xml:space="preserve"> Formato padrão baseado em JSON adotado pela indústria (OASIS) para intercambiar e consolidar resultados de múltiplos scanners de segurança (Semgrep, Trivy, Hadolint) na interface do GitHub Code Scanning.</w:t>
      </w:r>
    </w:p>
    <w:p>
      <w:pPr>
        <w:pStyle w:val="ListBullet"/>
        <w:spacing w:before="20" w:after="20"/>
      </w:pPr>
      <w:r>
        <w:rPr>
          <w:b/>
        </w:rPr>
        <w:t>Exit Code (Código de Saída):</w:t>
      </w:r>
      <w:r>
        <w:t xml:space="preserve"> Número inteiro retornado por um comando ou processo ao finalizar sua execução no sistema operacional. No Linux e PowerShell, o código </w:t>
      </w:r>
      <w:r>
        <w:rPr>
          <w:rFonts w:ascii="Consolas" w:hAnsi="Consolas"/>
          <w:color w:val="B42828"/>
          <w:sz w:val="19"/>
        </w:rPr>
        <w:t>0</w:t>
      </w:r>
      <w:r>
        <w:t xml:space="preserve"> significa sucesso; qualquer código diferente de zero (como </w:t>
      </w:r>
      <w:r>
        <w:rPr>
          <w:rFonts w:ascii="Consolas" w:hAnsi="Consolas"/>
          <w:color w:val="B42828"/>
          <w:sz w:val="19"/>
        </w:rPr>
        <w:t>exit 1</w:t>
      </w:r>
      <w:r>
        <w:t>) sinaliza erro e aborta a esteira no GitHub Actions.</w:t>
      </w:r>
    </w:p>
    <w:p>
      <w:pPr>
        <w:pStyle w:val="ListBullet"/>
        <w:spacing w:before="20" w:after="20"/>
      </w:pPr>
      <w:r>
        <w:rPr>
          <w:b/>
        </w:rPr>
        <w:t>Quality Gate:</w:t>
      </w:r>
      <w:r>
        <w:t xml:space="preserve"> Barreira automatizada na esteira de CI/CD que bloqueia o avanço da entrega de software caso determinadas métricas pré-estabelecidas sejam violadas (ex: reprovar o build se houver qualquer vulnerabilidade com severidade </w:t>
      </w:r>
      <w:r>
        <w:rPr>
          <w:rFonts w:ascii="Consolas" w:hAnsi="Consolas"/>
          <w:color w:val="B42828"/>
          <w:sz w:val="19"/>
        </w:rPr>
        <w:t>HIGH</w:t>
      </w:r>
      <w:r>
        <w:t xml:space="preserve"> ou </w:t>
      </w:r>
      <w:r>
        <w:rPr>
          <w:rFonts w:ascii="Consolas" w:hAnsi="Consolas"/>
          <w:color w:val="B42828"/>
          <w:sz w:val="19"/>
        </w:rPr>
        <w:t>CRITICAL</w:t>
      </w:r>
      <w:r>
        <w:t>).</w:t>
      </w:r>
    </w:p>
    <w:p>
      <w:pPr>
        <w:pStyle w:val="ListBullet"/>
        <w:spacing w:before="20" w:after="20"/>
      </w:pPr>
      <w:r>
        <w:rPr>
          <w:b/>
        </w:rPr>
        <w:t>Fork:</w:t>
      </w:r>
      <w:r>
        <w:t xml:space="preserve"> Cópia independente de um repositório Git sob a sua própria conta, permitindo que você experimente e realize modificações livremente sem afetar a árvore principal original.</w:t>
      </w:r>
    </w:p>
    <w:p>
      <w:pPr>
        <w:pStyle w:val="ListBullet"/>
        <w:spacing w:before="20" w:after="20"/>
      </w:pPr>
      <w:r>
        <w:rPr>
          <w:b/>
        </w:rPr>
        <w:t>Pull Request (PR):</w:t>
      </w:r>
      <w:r>
        <w:t xml:space="preserve"> Mecanismo de colaboração onde um desenvolvedor propõe a integração de alterações feitas em uma branch para a branch principal (</w:t>
      </w:r>
      <w:r>
        <w:rPr>
          <w:rFonts w:ascii="Consolas" w:hAnsi="Consolas"/>
          <w:color w:val="B42828"/>
          <w:sz w:val="19"/>
        </w:rPr>
        <w:t>main</w:t>
      </w:r>
      <w:r>
        <w:t>), servindo como palco central para revisão por pares e disparo de pipelines de validação.</w:t>
      </w:r>
    </w:p>
    <w:p>
      <w:pPr>
        <w:pStyle w:val="ListBullet"/>
        <w:spacing w:before="20" w:after="20"/>
      </w:pPr>
      <w:r>
        <w:rPr>
          <w:b/>
        </w:rPr>
        <w:t>Branch Protection Rules (Regras de Proteção de Branch):</w:t>
      </w:r>
      <w:r>
        <w:t xml:space="preserve"> Políticas configuradas no repositório remoto para impedir commits diretos na branch principal (</w:t>
      </w:r>
      <w:r>
        <w:rPr>
          <w:rFonts w:ascii="Consolas" w:hAnsi="Consolas"/>
          <w:color w:val="B42828"/>
          <w:sz w:val="19"/>
        </w:rPr>
        <w:t>main</w:t>
      </w:r>
      <w:r>
        <w:t>), exigindo aprovação via Pull Request e validação de testes automatizados com status verde antes do merge.</w:t>
      </w:r>
    </w:p>
    <w:p>
      <w:pPr>
        <w:pStyle w:val="ListBullet"/>
        <w:spacing w:before="20" w:after="20"/>
      </w:pPr>
      <w:r>
        <w:rPr>
          <w:b/>
        </w:rPr>
        <w:t>Falso Positivo (False Positive):</w:t>
      </w:r>
      <w:r>
        <w:t xml:space="preserve"> Situação em que uma ferramenta de segurança sinaliza incorretamente um trecho de código ou biblioteca como vulnerável, quando na realidade o contexto de uso do sistema impossibilita a exploração da falha.</w:t>
      </w:r>
    </w:p>
    <w:p>
      <w:pPr>
        <w:pStyle w:val="ListBullet"/>
        <w:spacing w:before="20" w:after="20"/>
      </w:pPr>
      <w:r>
        <w:rPr>
          <w:b/>
        </w:rPr>
        <w:t>Aceite de Risco &amp; Exceção Formal (Risk Acceptance):</w:t>
      </w:r>
      <w:r>
        <w:t xml:space="preserve"> Procedimento de governança onde a equipe de engenharia e segurança avalia formalmente um achado que não possui correção imediata do mantenedor e documenta o aceite temporário do risco (ex: através de um arquivo </w:t>
      </w:r>
      <w:r>
        <w:rPr>
          <w:rFonts w:ascii="Consolas" w:hAnsi="Consolas"/>
          <w:color w:val="B42828"/>
          <w:sz w:val="19"/>
        </w:rPr>
        <w:t>.trivyignore</w:t>
      </w:r>
      <w:r>
        <w:t xml:space="preserve"> estruturado com justificativa e data de expiração).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