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Glossário Detalhado e Enciclopédia Conceitual de DevSecOps</w:t>
      </w:r>
    </w:p>
    <w:p>
      <w:pPr>
        <w:pStyle w:val="Heading2"/>
        <w:spacing w:before="240" w:after="80"/>
      </w:pPr>
      <w:r>
        <w:t>Projeto Final DevSecOps — Clube Aurora (Turma 1746)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📖 </w:t>
      </w:r>
      <w:r>
        <w:rPr>
          <w:b/>
        </w:rPr>
        <w:t>Guia de Consulta Rápida e Aprofundamento: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Este glossário foi especialmente estruturado para apoiar os alunos de todas as trilhas — em especial da </w:t>
      </w:r>
      <w:r>
        <w:rPr>
          <w:b/>
        </w:rPr>
        <w:t>Trilha Nível 1 (Teórica Guiada)</w:t>
      </w:r>
      <w:r>
        <w:t xml:space="preserve"> e </w:t>
      </w:r>
      <w:r>
        <w:rPr>
          <w:b/>
        </w:rPr>
        <w:t>Nível 2 (Mista)</w:t>
      </w:r>
      <w:r>
        <w:t xml:space="preserve"> —, detalhando minuciosamente os conceitos teóricos, termos de governança, siglas de mercado e vulnerabilidades presentes no caso prático do </w:t>
      </w:r>
      <w:r>
        <w:rPr>
          <w:b/>
        </w:rPr>
        <w:t>Clube Aurora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📑 Índice Temático</w:t>
      </w:r>
    </w:p>
    <w:p>
      <w:pPr>
        <w:pStyle w:val="ListNumber"/>
        <w:spacing w:before="20" w:after="20"/>
      </w:pPr>
      <w:r>
        <w:t>[Metodologias de Segurança e Cultura Ágil](#1-metodologias-de-segurança-e-cultura-ágil)</w:t>
      </w:r>
    </w:p>
    <w:p>
      <w:pPr>
        <w:pStyle w:val="ListNumber"/>
        <w:spacing w:before="20" w:after="20"/>
      </w:pPr>
      <w:r>
        <w:t>[A Tríade CIA no Contexto do Negócio](#2-a-tríade-cia-no-contexto-do-negócio)</w:t>
      </w:r>
    </w:p>
    <w:p>
      <w:pPr>
        <w:pStyle w:val="ListNumber"/>
        <w:spacing w:before="20" w:after="20"/>
      </w:pPr>
      <w:r>
        <w:t>[Modelagem de Ameaças: Framework STRIDE Esmiuçado](#3-modelagem-de-ameaças-framework-stride-esmiuçado)</w:t>
      </w:r>
    </w:p>
    <w:p>
      <w:pPr>
        <w:pStyle w:val="ListNumber"/>
        <w:spacing w:before="20" w:after="20"/>
      </w:pPr>
      <w:r>
        <w:t>[Governança, Identidade e Controle de Acesso (IAM/RBAC)](#4-governança-identidade-e-controle-de-acesso-iamrbac)</w:t>
      </w:r>
    </w:p>
    <w:p>
      <w:pPr>
        <w:pStyle w:val="ListNumber"/>
        <w:spacing w:before="20" w:after="20"/>
      </w:pPr>
      <w:r>
        <w:t>[Tipos de Testes Automatizados na Esteira DevSecOps](#5-tipos-de-testes-automatizados-na-esteira-devsecops)</w:t>
      </w:r>
    </w:p>
    <w:p>
      <w:pPr>
        <w:pStyle w:val="ListNumber"/>
        <w:spacing w:before="20" w:after="20"/>
      </w:pPr>
      <w:r>
        <w:t>[Anatomia das Vulnerabilidades do Clube Aurora (F1 a F7)](#6-anatomia-das-vulnerabilidades-do-clube-aurora-f1-a-f7)</w:t>
      </w:r>
    </w:p>
    <w:p>
      <w:pPr>
        <w:pStyle w:val="ListNumber"/>
        <w:spacing w:before="20" w:after="20"/>
      </w:pPr>
      <w:r>
        <w:t>[Hardening e Segurança em Contêineres (Docker)](#7-hardening-e-segurança-em-contêineres-docker)</w:t>
      </w:r>
    </w:p>
    <w:p>
      <w:pPr>
        <w:pStyle w:val="ListNumber"/>
        <w:spacing w:before="20" w:after="20"/>
      </w:pPr>
      <w:r>
        <w:t>[Auditoria, Observabilidade e Não-Repúdio](#8-auditoria-observabilidade-e-não-repúdio)</w:t>
      </w:r>
    </w:p>
    <w:p>
      <w:pPr>
        <w:pStyle w:val="ListNumber"/>
        <w:spacing w:before="20" w:after="20"/>
      </w:pPr>
      <w:r>
        <w:t>[Gestão de Riscos, Exceções e Métricas Corporativas](#9-gestão-de-riscos-exceções-e-métricas-corporativas)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Metodologias de Segurança e Cultura Ágil</w:t>
      </w:r>
    </w:p>
    <w:p>
      <w:pPr>
        <w:pStyle w:val="Heading3"/>
        <w:spacing w:before="200" w:after="40"/>
      </w:pPr>
      <w:r>
        <w:t>Shift-Left Security ("Mover a Segurança para a Esquerda")</w:t>
      </w:r>
    </w:p>
    <w:p>
      <w:pPr>
        <w:pStyle w:val="ListBullet"/>
        <w:spacing w:before="20" w:after="20"/>
      </w:pPr>
      <w:r>
        <w:rPr>
          <w:b/>
        </w:rPr>
        <w:t>O que é:</w:t>
      </w:r>
      <w:r>
        <w:t xml:space="preserve"> No ciclo tradicional de desenvolvimento (Waterfall), o software era desenvolvido, testado funcionalmente e, apenas dias antes do deploy em produção, uma equipe de segurança realizava testes de invasão (pentest). O resultado eram atrasos massivos ou entregas inseguras. A abordagem </w:t>
      </w:r>
      <w:r>
        <w:rPr>
          <w:b/>
        </w:rPr>
        <w:t>Shift-Left</w:t>
      </w:r>
      <w:r>
        <w:t xml:space="preserve"> move os testes e validações de segurança para o início ("à esquerda") da linha do tempo: no editor do programador, no commit e nos primeiros passos da esteira automatizada.</w:t>
      </w:r>
    </w:p>
    <w:p>
      <w:pPr>
        <w:pStyle w:val="ListBullet"/>
        <w:spacing w:before="20" w:after="20"/>
      </w:pPr>
      <w:r>
        <w:rPr>
          <w:b/>
        </w:rPr>
        <w:t>Por que importa:</w:t>
      </w:r>
      <w:r>
        <w:t xml:space="preserve"> Corrigir uma falha enquanto o desenvolvedor ainda está escrevendo o código custa até </w:t>
      </w:r>
      <w:r>
        <w:rPr>
          <w:b/>
        </w:rPr>
        <w:t>60 vezes menos</w:t>
      </w:r>
      <w:r>
        <w:t xml:space="preserve"> do que corrigir uma vulnerabilidade explorada em produção com vazamento de dados na imprensa.</w:t>
      </w:r>
    </w:p>
    <w:p>
      <w:pPr>
        <w:pStyle w:val="Heading3"/>
        <w:spacing w:before="200" w:after="40"/>
      </w:pPr>
      <w:r>
        <w:t>DevSecOps (Development, Security, and Operations)</w:t>
      </w:r>
    </w:p>
    <w:p>
      <w:pPr>
        <w:pStyle w:val="ListBullet"/>
        <w:spacing w:before="20" w:after="20"/>
      </w:pPr>
      <w:r>
        <w:rPr>
          <w:b/>
        </w:rPr>
        <w:t>O que é:</w:t>
      </w:r>
      <w:r>
        <w:t xml:space="preserve"> Evolução da cultura DevOps que integra a segurança como um </w:t>
      </w:r>
      <w:r>
        <w:rPr>
          <w:b/>
        </w:rPr>
        <w:t>requisito não-funcional de primeira classe</w:t>
      </w:r>
      <w:r>
        <w:t xml:space="preserve"> em todas as etapas de entrega de software. Não se trata de uma ferramenta única, mas da união de pessoas, processos automatizados e ferramentas que garantem entregas rápidas, previsíveis e blindadas.</w:t>
      </w:r>
    </w:p>
    <w:p>
      <w:pPr>
        <w:pStyle w:val="ListBullet"/>
        <w:spacing w:before="20" w:after="20"/>
      </w:pPr>
      <w:r>
        <w:rPr>
          <w:b/>
        </w:rPr>
        <w:t>No Clube Aurora:</w:t>
      </w:r>
      <w:r>
        <w:t xml:space="preserve"> Representado pela esteira de CI/CD que analisa desde a sintaxe do Dockerfile até a segurança dinâmica da aplicação em tempo de execução.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A Tríade CIA no Contexto do Negócio</w:t>
      </w:r>
    </w:p>
    <w:p>
      <w:pPr>
        <w:spacing w:before="40" w:after="80"/>
      </w:pPr>
      <w:r>
        <w:t>A Tríade CIA é o alicerce fundamental de qualquer política de segurança da informação mundial:</w:t>
      </w:r>
    </w:p>
    <w:p>
      <w:pPr>
        <w:pStyle w:val="Heading3"/>
        <w:spacing w:before="200" w:after="40"/>
      </w:pPr>
      <w:r>
        <w:t>1. Confidencialidade (Confidentiality)</w:t>
      </w:r>
    </w:p>
    <w:p>
      <w:pPr>
        <w:pStyle w:val="ListBullet"/>
        <w:spacing w:before="20" w:after="20"/>
      </w:pPr>
      <w:r>
        <w:rPr>
          <w:b/>
        </w:rPr>
        <w:t>Definição:</w:t>
      </w:r>
      <w:r>
        <w:t xml:space="preserve"> Garantir que a informação seja acessível estritamente por pessoas, processos ou sistemas autorizados.</w:t>
      </w:r>
    </w:p>
    <w:p>
      <w:pPr>
        <w:pStyle w:val="ListBullet"/>
        <w:spacing w:before="20" w:after="20"/>
      </w:pPr>
      <w:r>
        <w:rPr>
          <w:b/>
        </w:rPr>
        <w:t>Impacto no Clube Aurora:</w:t>
      </w:r>
      <w:r>
        <w:t xml:space="preserve"> O clube atende indivíduos de patrimônio ultra-alto (UHNWI - Ultra High Net Worth Individuals). Dados como endereços residenciais de celebridades, horários de voos em jatos particulares e faturas de cartão de crédito não podem ser lidos por funcionários não autorizados nem expostos na internet. A quebra de confidencialidade destrói o modelo de negócios por completo.</w:t>
      </w:r>
    </w:p>
    <w:p>
      <w:pPr>
        <w:pStyle w:val="Heading3"/>
        <w:spacing w:before="200" w:after="40"/>
      </w:pPr>
      <w:r>
        <w:t>2. Integridade (Integrity)</w:t>
      </w:r>
    </w:p>
    <w:p>
      <w:pPr>
        <w:pStyle w:val="ListBullet"/>
        <w:spacing w:before="20" w:after="20"/>
      </w:pPr>
      <w:r>
        <w:rPr>
          <w:b/>
        </w:rPr>
        <w:t>Definição:</w:t>
      </w:r>
      <w:r>
        <w:t xml:space="preserve"> Assegurar que os dados, parâmetros e códigos permaneçam exatos, completos e protegidos contra adulteração ou corrupção não autorizada.</w:t>
      </w:r>
    </w:p>
    <w:p>
      <w:pPr>
        <w:pStyle w:val="ListBullet"/>
        <w:spacing w:before="20" w:after="20"/>
      </w:pPr>
      <w:r>
        <w:rPr>
          <w:b/>
        </w:rPr>
        <w:t>Impacto no Clube Aurora:</w:t>
      </w:r>
      <w:r>
        <w:t xml:space="preserve"> Se um invasor puder alterar o valor de uma reserva de jato privado de R$ 50.000 para R$ 1,00, ou se puder mudar o destino de um voo no banco de dados, o serviço entra em colapso logístico e financeiro.</w:t>
      </w:r>
    </w:p>
    <w:p>
      <w:pPr>
        <w:pStyle w:val="Heading3"/>
        <w:spacing w:before="200" w:after="40"/>
      </w:pPr>
      <w:r>
        <w:t>3. Disponibilidade (Availability)</w:t>
      </w:r>
    </w:p>
    <w:p>
      <w:pPr>
        <w:pStyle w:val="ListBullet"/>
        <w:spacing w:before="20" w:after="20"/>
      </w:pPr>
      <w:r>
        <w:rPr>
          <w:b/>
        </w:rPr>
        <w:t>Definição:</w:t>
      </w:r>
      <w:r>
        <w:t xml:space="preserve"> Assegurar que os sistemas, bancos de dados e serviços estejam operacionais e acessíveis para os usuários legítimos sempre que necessário.</w:t>
      </w:r>
    </w:p>
    <w:p>
      <w:pPr>
        <w:pStyle w:val="ListBullet"/>
        <w:spacing w:before="20" w:after="20"/>
      </w:pPr>
      <w:r>
        <w:rPr>
          <w:b/>
        </w:rPr>
        <w:t>Impacto no Clube Aurora:</w:t>
      </w:r>
      <w:r>
        <w:t xml:space="preserve"> Se a aplicação cair durante o fechamento de um lote exclusivo em um leilão de arte, membros VIP não conseguirão efetuar seus lances, gerando perda imediata de faturamento e graves danos à reputação da marca.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Modelagem de Ameaças: Framework STRIDE Esmiuçado</w:t>
      </w:r>
    </w:p>
    <w:p>
      <w:pPr>
        <w:spacing w:before="40" w:after="80"/>
      </w:pPr>
      <w:r>
        <w:t xml:space="preserve">Desenvolvido originalmente pela Microsoft, o framework </w:t>
      </w:r>
      <w:r>
        <w:rPr>
          <w:b/>
        </w:rPr>
        <w:t>STRIDE</w:t>
      </w:r>
      <w:r>
        <w:t xml:space="preserve"> categoriza as ameaças de segurança que podem afetar um software. Cada letra representa uma categoria de ataque com um objetivo específico do invasor: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Letra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Categoria de Ameaça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Objetivo do Atacante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 que quebra?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Exemplo Real no Clube Aurora</w:t>
            </w:r>
          </w:p>
        </w:tc>
      </w:tr>
      <w:tr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Spoofing</w:t>
            </w:r>
            <w:r>
              <w:t xml:space="preserve"> (Falsificação)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Fingir ser quem não é (forjar identidade de outro usuário, serviço ou cliente).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Autenticação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Um atacante forjar a sessão da gerente Carla para emitir ordens de serviço.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T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Tampering</w:t>
            </w:r>
            <w:r>
              <w:t xml:space="preserve"> (Adulteração)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Modificar dados em trânsito ou no banco de dados sem autorização.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Integridade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Injetar comandos SQL maliciosos para alterar o status de reservas no SQLite.</w:t>
            </w:r>
          </w:p>
        </w:tc>
      </w:tr>
      <w:tr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R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Repudiation</w:t>
            </w:r>
            <w:r>
              <w:t xml:space="preserve"> (Repúdio)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Realizar uma ação danosa e negar a autoria por falta de registros e provas.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Auditoria / Não-Repúdio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Um funcionário desonesto deletar o histórico de um cliente VIP e o sistema não registrar logs de quem fez isso.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I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Information Disclosure</w:t>
            </w:r>
            <w:r>
              <w:t xml:space="preserve"> (Vazamento)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Obter acesso a dados confidenciais ou segredos internos do sistema.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Confidencialidade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 xml:space="preserve">Chaves de API e senhas expostas no arquivo 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  <w:r>
              <w:t xml:space="preserve"> dentro do histórico do Git.</w:t>
            </w:r>
          </w:p>
        </w:tc>
      </w:tr>
      <w:tr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D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Denial of Service</w:t>
            </w:r>
            <w:r>
              <w:t xml:space="preserve"> (Negação de Serviço)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Esgotar recursos da máquina ou da aplicação para torná-la inacessível.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Disponibilidade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Executar consultas que travam o banco de dados ou derrubam o contêiner por consumo de memória.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E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Elevation of Privilege</w:t>
            </w:r>
            <w:r>
              <w:t xml:space="preserve"> (Elevação de Privilégio)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Um usuário de menor privilégio obter poderes administrativos indevidos.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Autorização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 xml:space="preserve">Um cliente ou operador comum conseguir acessar a rota </w:t>
            </w:r>
            <w:r>
              <w:rPr>
                <w:rFonts w:ascii="Consolas" w:hAnsi="Consolas"/>
                <w:color w:val="B42828"/>
                <w:sz w:val="19"/>
              </w:rPr>
              <w:t>/admin/users</w:t>
            </w:r>
            <w:r>
              <w:t xml:space="preserve"> e alterar seu próprio papel para </w:t>
            </w:r>
            <w:r>
              <w:rPr>
                <w:rFonts w:ascii="Consolas" w:hAnsi="Consolas"/>
                <w:color w:val="B42828"/>
                <w:sz w:val="19"/>
              </w:rPr>
              <w:t>admin</w:t>
            </w:r>
            <w:r>
              <w:t>.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4. Governança, Identidade e Controle de Acesso (IAM/RBAC)</w:t>
      </w:r>
    </w:p>
    <w:p>
      <w:pPr>
        <w:pStyle w:val="Heading3"/>
        <w:spacing w:before="200" w:after="40"/>
      </w:pPr>
      <w:r>
        <w:t>Princípio do Menor Privilégio (PoLP - Principle of Least Privilege)</w:t>
      </w:r>
    </w:p>
    <w:p>
      <w:pPr>
        <w:pStyle w:val="ListBullet"/>
        <w:spacing w:before="20" w:after="20"/>
      </w:pPr>
      <w:r>
        <w:rPr>
          <w:b/>
        </w:rPr>
        <w:t>O que é:</w:t>
      </w:r>
      <w:r>
        <w:t xml:space="preserve"> Regra de ouro da segurança segundo a qual todo usuário, processo ou software deve operar utilizando estritamente as permissões mínimas indispensáveis para cumprir sua tarefa específica, e nada mais.</w:t>
      </w:r>
    </w:p>
    <w:p>
      <w:pPr>
        <w:pStyle w:val="ListBullet"/>
        <w:spacing w:before="20" w:after="20"/>
      </w:pPr>
      <w:r>
        <w:rPr>
          <w:b/>
        </w:rPr>
        <w:t>Aplicação Prática:</w:t>
      </w:r>
      <w:r>
        <w:t xml:space="preserve"> Se a gerente Carla precisa apenas visualizar e cadastrar agendamentos de clientes, ela </w:t>
      </w:r>
      <w:r>
        <w:rPr>
          <w:b/>
        </w:rPr>
        <w:t>não deve</w:t>
      </w:r>
      <w:r>
        <w:t xml:space="preserve"> ter permissão para reiniciar o servidor, alterar configurações de rede ou modificar usuários do banco.</w:t>
      </w:r>
    </w:p>
    <w:p>
      <w:pPr>
        <w:pStyle w:val="Heading3"/>
        <w:spacing w:before="200" w:after="40"/>
      </w:pPr>
      <w:r>
        <w:t>Segregação de Funções (SoD - Separation of Duties)</w:t>
      </w:r>
    </w:p>
    <w:p>
      <w:pPr>
        <w:pStyle w:val="ListBullet"/>
        <w:spacing w:before="20" w:after="20"/>
      </w:pPr>
      <w:r>
        <w:rPr>
          <w:b/>
        </w:rPr>
        <w:t>O que é:</w:t>
      </w:r>
      <w:r>
        <w:t xml:space="preserve"> Princípio de governança corporativa e compliance (SOX, ISO 27001) que impede a concentração excessiva de poderes críticos em uma única pessoa, reduzindo o risco de fraudes e erros acidentais.</w:t>
      </w:r>
    </w:p>
    <w:p>
      <w:pPr>
        <w:pStyle w:val="ListBullet"/>
        <w:spacing w:before="20" w:after="20"/>
      </w:pPr>
      <w:r>
        <w:rPr>
          <w:b/>
        </w:rPr>
        <w:t>No Caso Carla e Tio Armando:</w:t>
      </w:r>
      <w:r>
        <w:t xml:space="preserve"> Carla solicitou permissões de superadministradora ("admin total") para "agilizar o atendimento". A concessão desse acesso violaria frontalmente a SoD: uma profissional da área de negócios passaria a ter poderes de infraestrutura técnica sem supervisão de TI. A solução correta é criar um papel sob medida (</w:t>
      </w:r>
      <w:r>
        <w:rPr>
          <w:b/>
        </w:rPr>
        <w:t>`concierge_manager`</w:t>
      </w:r>
      <w:r>
        <w:t>) com acesso pleno às telas de atendimento, sem poderes administrativos no sistema.</w:t>
      </w:r>
    </w:p>
    <w:p>
      <w:pPr>
        <w:pStyle w:val="Heading3"/>
        <w:spacing w:before="200" w:after="40"/>
      </w:pPr>
      <w:r>
        <w:t>RBAC (Role-Based Access Control - Controle de Acesso Baseado em Papéis)</w:t>
      </w:r>
    </w:p>
    <w:p>
      <w:pPr>
        <w:pStyle w:val="ListBullet"/>
        <w:spacing w:before="20" w:after="20"/>
      </w:pPr>
      <w:r>
        <w:rPr>
          <w:b/>
        </w:rPr>
        <w:t>O que é:</w:t>
      </w:r>
      <w:r>
        <w:t xml:space="preserve"> Modelo de autorização onde os acessos aos recursos do sistema não são atribuídos diretamente aos nomes das pessoas, mas sim a </w:t>
      </w:r>
      <w:r>
        <w:rPr>
          <w:b/>
        </w:rPr>
        <w:t>papéis</w:t>
      </w:r>
      <w:r>
        <w:t xml:space="preserve"> (funções ou cargos). Cada papel possui um conjunto pré-determinado de permissões.</w:t>
      </w:r>
    </w:p>
    <w:p>
      <w:pPr>
        <w:pStyle w:val="ListBullet"/>
        <w:spacing w:before="20" w:after="20"/>
      </w:pPr>
      <w:r>
        <w:rPr>
          <w:b/>
        </w:rPr>
        <w:t>Estrutura Típica: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admin</w:t>
      </w:r>
      <w:r>
        <w:t>: Manutenção técnica, gerenciamento de papéis e auditoria do sistema.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staff</w:t>
      </w:r>
      <w:r>
        <w:t xml:space="preserve"> / </w:t>
      </w:r>
      <w:r>
        <w:rPr>
          <w:rFonts w:ascii="Consolas" w:hAnsi="Consolas"/>
          <w:color w:val="B42828"/>
          <w:sz w:val="19"/>
        </w:rPr>
        <w:t>concierge_manager</w:t>
      </w:r>
      <w:r>
        <w:t>: Cadastro, consulta e gestão de experiências de clientes VIP.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client</w:t>
      </w:r>
      <w:r>
        <w:t>: Visualização estrita de suas próprias reservas e perfil.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5. Tipos de Testes Automatizados na Esteira DevSecOps</w:t>
      </w:r>
    </w:p>
    <w:p>
      <w:pPr>
        <w:spacing w:before="40" w:after="80"/>
      </w:pPr>
      <w:r>
        <w:t xml:space="preserve">Uma esteira madura de DevSecOps implementa a estratégia de </w:t>
      </w:r>
      <w:r>
        <w:rPr>
          <w:b/>
        </w:rPr>
        <w:t>Defesa em Profundidade</w:t>
      </w:r>
      <w:r>
        <w:t>, combinando múltiplos scanners especializados: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ESTEIRA DE DEVSECOPS DO CLUBE AURORA                 │</w:t>
              <w:br/>
              <w:t>│                                                                        │</w:t>
              <w:br/>
              <w:t>│  [ Linting ]  ──&gt;  [ SCA ]  ──&gt;  [ SAST ]  ──&gt;  [ Container ]  ──&gt;  [ DAST ]</w:t>
              <w:br/>
              <w:t xml:space="preserve">│   Hadolint          Trivy        Semgrep          Trivy Image         OWASP ZAP </w:t>
              <w:br/>
              <w:t>│ (Dockerfile)      (Pacotes)     (Código)         (Camadas SO)       (Aplicação)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  <w:spacing w:before="200" w:after="40"/>
      </w:pPr>
      <w:r>
        <w:t>1. Linter de Infraestrutura (Hadolint)</w:t>
      </w:r>
    </w:p>
    <w:p>
      <w:pPr>
        <w:pStyle w:val="ListBullet"/>
        <w:spacing w:before="20" w:after="20"/>
      </w:pPr>
      <w:r>
        <w:rPr>
          <w:b/>
        </w:rPr>
        <w:t>Como atua:</w:t>
      </w:r>
      <w:r>
        <w:t xml:space="preserve"> Analisa arquivos de receita de contêiner (</w:t>
      </w:r>
      <w:r>
        <w:rPr>
          <w:rFonts w:ascii="Consolas" w:hAnsi="Consolas"/>
          <w:color w:val="B42828"/>
          <w:sz w:val="19"/>
        </w:rPr>
        <w:t>Dockerfile</w:t>
      </w:r>
      <w:r>
        <w:t>) verificando conformidade com as melhores práticas de mercado (regras DLxxxx).</w:t>
      </w:r>
    </w:p>
    <w:p>
      <w:pPr>
        <w:pStyle w:val="ListBullet"/>
        <w:spacing w:before="20" w:after="20"/>
      </w:pPr>
      <w:r>
        <w:rPr>
          <w:b/>
        </w:rPr>
        <w:t>O que detecta:</w:t>
      </w:r>
      <w:r>
        <w:t xml:space="preserve"> Uso de tags mutáveis (</w:t>
      </w:r>
      <w:r>
        <w:rPr>
          <w:rFonts w:ascii="Consolas" w:hAnsi="Consolas"/>
          <w:color w:val="B42828"/>
          <w:sz w:val="19"/>
        </w:rPr>
        <w:t>:latest</w:t>
      </w:r>
      <w:r>
        <w:t>), ausência de limpeza de cache de pacotes, instruções desnecessárias.</w:t>
      </w:r>
    </w:p>
    <w:p>
      <w:pPr>
        <w:pStyle w:val="Heading3"/>
        <w:spacing w:before="200" w:after="40"/>
      </w:pPr>
      <w:r>
        <w:t>2. SCA (Software Composition Analysis - Trivy Filesystem)</w:t>
      </w:r>
    </w:p>
    <w:p>
      <w:pPr>
        <w:pStyle w:val="ListBullet"/>
        <w:spacing w:before="20" w:after="20"/>
      </w:pPr>
      <w:r>
        <w:rPr>
          <w:b/>
        </w:rPr>
        <w:t>Como atua:</w:t>
      </w:r>
      <w:r>
        <w:t xml:space="preserve"> Lê os arquivos de manifesto de dependências (como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no Python ou </w:t>
      </w:r>
      <w:r>
        <w:rPr>
          <w:rFonts w:ascii="Consolas" w:hAnsi="Consolas"/>
          <w:color w:val="B42828"/>
          <w:sz w:val="19"/>
        </w:rPr>
        <w:t>package.json</w:t>
      </w:r>
      <w:r>
        <w:t xml:space="preserve"> no Node.js) e cruza as versões instaladas com bases mundiais de vulnerabilidades públicas (CVEs).</w:t>
      </w:r>
    </w:p>
    <w:p>
      <w:pPr>
        <w:pStyle w:val="ListBullet"/>
        <w:spacing w:before="20" w:after="20"/>
      </w:pPr>
      <w:r>
        <w:rPr>
          <w:b/>
        </w:rPr>
        <w:t>O que detecta:</w:t>
      </w:r>
      <w:r>
        <w:t xml:space="preserve"> Bibliotecas de terceiros antigas com brechas conhecidas (ex.: CVEs de corrupção de memória ou negação de serviço no </w:t>
      </w:r>
      <w:r>
        <w:rPr>
          <w:rFonts w:ascii="Consolas" w:hAnsi="Consolas"/>
          <w:color w:val="B42828"/>
          <w:sz w:val="19"/>
        </w:rPr>
        <w:t>urllib3</w:t>
      </w:r>
      <w:r>
        <w:t xml:space="preserve"> e </w:t>
      </w:r>
      <w:r>
        <w:rPr>
          <w:rFonts w:ascii="Consolas" w:hAnsi="Consolas"/>
          <w:color w:val="B42828"/>
          <w:sz w:val="19"/>
        </w:rPr>
        <w:t>werkzeug</w:t>
      </w:r>
      <w:r>
        <w:t>).</w:t>
      </w:r>
    </w:p>
    <w:p>
      <w:pPr>
        <w:pStyle w:val="Heading3"/>
        <w:spacing w:before="200" w:after="40"/>
      </w:pPr>
      <w:r>
        <w:t>3. SAST (Static Application Security Testing - Semgrep)</w:t>
      </w:r>
    </w:p>
    <w:p>
      <w:pPr>
        <w:pStyle w:val="ListBullet"/>
        <w:spacing w:before="20" w:after="20"/>
      </w:pPr>
      <w:r>
        <w:rPr>
          <w:b/>
        </w:rPr>
        <w:t>Como atua:</w:t>
      </w:r>
      <w:r>
        <w:t xml:space="preserve"> Realiza uma inspeção estática no código-fonte sem executá-lo, como um "raio-X" da lógica de programação.</w:t>
      </w:r>
    </w:p>
    <w:p>
      <w:pPr>
        <w:pStyle w:val="ListBullet"/>
        <w:spacing w:before="20" w:after="20"/>
      </w:pPr>
      <w:r>
        <w:rPr>
          <w:b/>
        </w:rPr>
        <w:t>O que detecta:</w:t>
      </w:r>
      <w:r>
        <w:t xml:space="preserve"> Falhas de codificação do time de desenvolvimento, como injeção de comandos SQL, uso de algoritmos criptográficos fracos e validações ausentes.</w:t>
      </w:r>
    </w:p>
    <w:p>
      <w:pPr>
        <w:pStyle w:val="Heading3"/>
        <w:spacing w:before="200" w:after="40"/>
      </w:pPr>
      <w:r>
        <w:t>4. Varredura de Imagem Contêiner (Trivy Image)</w:t>
      </w:r>
    </w:p>
    <w:p>
      <w:pPr>
        <w:pStyle w:val="ListBullet"/>
        <w:spacing w:before="20" w:after="20"/>
      </w:pPr>
      <w:r>
        <w:rPr>
          <w:b/>
        </w:rPr>
        <w:t>Como atua:</w:t>
      </w:r>
      <w:r>
        <w:t xml:space="preserve"> Descompacta as camadas da imagem Docker gerada e inspeciona tanto as bibliotecas da linguagem quanto os binários do sistema operacional base (pacotes Debian/Alpine como </w:t>
      </w:r>
      <w:r>
        <w:rPr>
          <w:rFonts w:ascii="Consolas" w:hAnsi="Consolas"/>
          <w:color w:val="B42828"/>
          <w:sz w:val="19"/>
        </w:rPr>
        <w:t>openssl</w:t>
      </w:r>
      <w:r>
        <w:t xml:space="preserve">, </w:t>
      </w:r>
      <w:r>
        <w:rPr>
          <w:rFonts w:ascii="Consolas" w:hAnsi="Consolas"/>
          <w:color w:val="B42828"/>
          <w:sz w:val="19"/>
        </w:rPr>
        <w:t>glibc</w:t>
      </w:r>
      <w:r>
        <w:t xml:space="preserve">, </w:t>
      </w:r>
      <w:r>
        <w:rPr>
          <w:rFonts w:ascii="Consolas" w:hAnsi="Consolas"/>
          <w:color w:val="B42828"/>
          <w:sz w:val="19"/>
        </w:rPr>
        <w:t>curl</w:t>
      </w:r>
      <w:r>
        <w:t>).</w:t>
      </w:r>
    </w:p>
    <w:p>
      <w:pPr>
        <w:pStyle w:val="ListBullet"/>
        <w:spacing w:before="20" w:after="20"/>
      </w:pPr>
      <w:r>
        <w:rPr>
          <w:b/>
        </w:rPr>
        <w:t>O que detecta:</w:t>
      </w:r>
      <w:r>
        <w:t xml:space="preserve"> Vulnerabilidades no sistema operacional subjacente que poderiam permitir a um invasor obter controle do contêiner.</w:t>
      </w:r>
    </w:p>
    <w:p>
      <w:pPr>
        <w:pStyle w:val="Heading3"/>
        <w:spacing w:before="200" w:after="40"/>
      </w:pPr>
      <w:r>
        <w:t>5. DAST (Dynamic Application Security Testing - OWASP ZAP)</w:t>
      </w:r>
    </w:p>
    <w:p>
      <w:pPr>
        <w:pStyle w:val="ListBullet"/>
        <w:spacing w:before="20" w:after="20"/>
      </w:pPr>
      <w:r>
        <w:rPr>
          <w:b/>
        </w:rPr>
        <w:t>Como atua:</w:t>
      </w:r>
      <w:r>
        <w:t xml:space="preserve"> Teste de "caixa-preta" que simula um atacante real disparando requisições HTTP maliciosas contra a aplicação web enquanto ela está rodando.</w:t>
      </w:r>
    </w:p>
    <w:p>
      <w:pPr>
        <w:pStyle w:val="ListBullet"/>
        <w:spacing w:before="20" w:after="20"/>
      </w:pPr>
      <w:r>
        <w:rPr>
          <w:b/>
        </w:rPr>
        <w:t>O que detecta:</w:t>
      </w:r>
      <w:r>
        <w:t xml:space="preserve"> Cabeçalhos de segurança ausentes, cookies desprotegidos, falhas de redirecionamento aberto e brechas que só aparecem em tempo de execução.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6. Anatomia das Vulnerabilidades do Clube Aurora (F1 a F7)</w:t>
      </w:r>
    </w:p>
    <w:p>
      <w:pPr>
        <w:pStyle w:val="Heading3"/>
        <w:spacing w:before="200" w:after="40"/>
      </w:pPr>
      <w:r>
        <w:t>F1: Exposição de Segredos no Git (.env rastreado)</w:t>
      </w:r>
    </w:p>
    <w:p>
      <w:pPr>
        <w:pStyle w:val="ListBullet"/>
        <w:spacing w:before="20" w:after="20"/>
      </w:pPr>
      <w:r>
        <w:rPr>
          <w:b/>
        </w:rPr>
        <w:t>O Risco:</w:t>
      </w:r>
      <w:r>
        <w:t xml:space="preserve"> Armazenar chaves secretas de produção (</w:t>
      </w:r>
      <w:r>
        <w:rPr>
          <w:rFonts w:ascii="Consolas" w:hAnsi="Consolas"/>
          <w:color w:val="B42828"/>
          <w:sz w:val="19"/>
        </w:rPr>
        <w:t>SECRET_KEY</w:t>
      </w:r>
      <w:r>
        <w:t>, senhas de banco) em arquivos de texto e comitá-los no histórico do Git. Mesmo que o repositório seja privado, colaboradores, forks ou invasores com acesso ao histórico conseguem ler as credenciais.</w:t>
      </w:r>
    </w:p>
    <w:p>
      <w:pPr>
        <w:pStyle w:val="ListBullet"/>
        <w:spacing w:before="20" w:after="20"/>
      </w:pPr>
      <w:r>
        <w:rPr>
          <w:b/>
        </w:rPr>
        <w:t>A Solução:</w:t>
      </w:r>
      <w:r>
        <w:t xml:space="preserve"> Adicionar o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ao </w:t>
      </w:r>
      <w:r>
        <w:rPr>
          <w:rFonts w:ascii="Consolas" w:hAnsi="Consolas"/>
          <w:color w:val="B42828"/>
          <w:sz w:val="19"/>
        </w:rPr>
        <w:t>.gitignore</w:t>
      </w:r>
      <w:r>
        <w:t>, desindexá-lo do Git (</w:t>
      </w:r>
      <w:r>
        <w:rPr>
          <w:rFonts w:ascii="Consolas" w:hAnsi="Consolas"/>
          <w:color w:val="B42828"/>
          <w:sz w:val="19"/>
        </w:rPr>
        <w:t>git rm --cached .env</w:t>
      </w:r>
      <w:r>
        <w:t>) e disponibilizar um modelo seguro (</w:t>
      </w:r>
      <w:r>
        <w:rPr>
          <w:rFonts w:ascii="Consolas" w:hAnsi="Consolas"/>
          <w:color w:val="B42828"/>
          <w:sz w:val="19"/>
        </w:rPr>
        <w:t>.env.example</w:t>
      </w:r>
      <w:r>
        <w:t>) apenas com variáveis vazias.</w:t>
      </w:r>
    </w:p>
    <w:p>
      <w:pPr>
        <w:pStyle w:val="Heading3"/>
        <w:spacing w:before="200" w:after="40"/>
      </w:pPr>
      <w:r>
        <w:t>F2: Dependências Vulneráveis com CVEs (SCA)</w:t>
      </w:r>
    </w:p>
    <w:p>
      <w:pPr>
        <w:pStyle w:val="ListBullet"/>
        <w:spacing w:before="20" w:after="20"/>
      </w:pPr>
      <w:r>
        <w:rPr>
          <w:b/>
        </w:rPr>
        <w:t>O Risco:</w:t>
      </w:r>
      <w:r>
        <w:t xml:space="preserve"> O arquivo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declarava versões antigas do Flask (</w:t>
      </w:r>
      <w:r>
        <w:rPr>
          <w:rFonts w:ascii="Consolas" w:hAnsi="Consolas"/>
          <w:color w:val="B42828"/>
          <w:sz w:val="19"/>
        </w:rPr>
        <w:t>2.2.5</w:t>
      </w:r>
      <w:r>
        <w:t>), Werkzeug (</w:t>
      </w:r>
      <w:r>
        <w:rPr>
          <w:rFonts w:ascii="Consolas" w:hAnsi="Consolas"/>
          <w:color w:val="B42828"/>
          <w:sz w:val="19"/>
        </w:rPr>
        <w:t>2.2.3</w:t>
      </w:r>
      <w:r>
        <w:t>) e urllib3 (</w:t>
      </w:r>
      <w:r>
        <w:rPr>
          <w:rFonts w:ascii="Consolas" w:hAnsi="Consolas"/>
          <w:color w:val="B42828"/>
          <w:sz w:val="19"/>
        </w:rPr>
        <w:t>1.26.15</w:t>
      </w:r>
      <w:r>
        <w:t>), acumulando vulnerabilidades críticas como negação de serviço e bypass de autenticação.</w:t>
      </w:r>
    </w:p>
    <w:p>
      <w:pPr>
        <w:pStyle w:val="ListBullet"/>
        <w:spacing w:before="20" w:after="20"/>
      </w:pPr>
      <w:r>
        <w:rPr>
          <w:b/>
        </w:rPr>
        <w:t>A Solução:</w:t>
      </w:r>
      <w:r>
        <w:t xml:space="preserve"> Atualizar as bibliotecas para versões estáveis e recomendadas (</w:t>
      </w:r>
      <w:r>
        <w:rPr>
          <w:rFonts w:ascii="Consolas" w:hAnsi="Consolas"/>
          <w:color w:val="B42828"/>
          <w:sz w:val="19"/>
        </w:rPr>
        <w:t>flask&gt;=3.0.3</w:t>
      </w:r>
      <w:r>
        <w:t xml:space="preserve">, </w:t>
      </w:r>
      <w:r>
        <w:rPr>
          <w:rFonts w:ascii="Consolas" w:hAnsi="Consolas"/>
          <w:color w:val="B42828"/>
          <w:sz w:val="19"/>
        </w:rPr>
        <w:t>urllib3&gt;=2.8.0</w:t>
      </w:r>
      <w:r>
        <w:t>, etc.) e fixar as versões na esteira.</w:t>
      </w:r>
    </w:p>
    <w:p>
      <w:pPr>
        <w:pStyle w:val="Heading3"/>
        <w:spacing w:before="200" w:after="40"/>
      </w:pPr>
      <w:r>
        <w:t>F3: Injeção de SQL (SQL Injection - SQLi)</w:t>
      </w:r>
    </w:p>
    <w:p>
      <w:pPr>
        <w:pStyle w:val="ListBullet"/>
        <w:spacing w:before="20" w:after="20"/>
      </w:pPr>
      <w:r>
        <w:rPr>
          <w:b/>
        </w:rPr>
        <w:t>O Risco:</w:t>
      </w:r>
      <w:r>
        <w:t xml:space="preserve"> Construir instruções SQL concatenando strings fornecidas pelo usuário através de f-strings:</w:t>
      </w:r>
    </w:p>
    <w:p>
      <w:pPr>
        <w:spacing w:before="40" w:after="80"/>
      </w:pPr>
      <w:r>
        <w:rPr>
          <w:rFonts w:ascii="Consolas" w:hAnsi="Consolas"/>
          <w:color w:val="B42828"/>
          <w:sz w:val="19"/>
        </w:rPr>
        <w:t>f"SELECT * FROM clients WHERE full_name LIKE '%{name}%'"</w:t>
      </w:r>
    </w:p>
    <w:p>
      <w:pPr>
        <w:spacing w:before="40" w:after="80"/>
      </w:pPr>
      <w:r>
        <w:t xml:space="preserve">Se o usuário digitar </w:t>
      </w:r>
      <w:r>
        <w:rPr>
          <w:rFonts w:ascii="Consolas" w:hAnsi="Consolas"/>
          <w:color w:val="B42828"/>
          <w:sz w:val="19"/>
        </w:rPr>
        <w:t>' OR '1'='1</w:t>
      </w:r>
      <w:r>
        <w:t>, a consulta se torna verdadeira para todos os registros e vaza a tabela inteira de clientes VIP.</w:t>
      </w:r>
    </w:p>
    <w:p>
      <w:pPr>
        <w:pStyle w:val="ListBullet"/>
        <w:spacing w:before="20" w:after="20"/>
      </w:pPr>
      <w:r>
        <w:rPr>
          <w:b/>
        </w:rPr>
        <w:t>A Solução:</w:t>
      </w:r>
      <w:r>
        <w:t xml:space="preserve"> Utilizar </w:t>
      </w:r>
      <w:r>
        <w:rPr>
          <w:b/>
        </w:rPr>
        <w:t>Consultas Parametrizadas</w:t>
      </w:r>
      <w:r>
        <w:t xml:space="preserve"> (Prepared Statements) com o placeholder seguro </w:t>
      </w:r>
      <w:r>
        <w:rPr>
          <w:rFonts w:ascii="Consolas" w:hAnsi="Consolas"/>
          <w:color w:val="B42828"/>
          <w:sz w:val="19"/>
        </w:rPr>
        <w:t>?</w:t>
      </w:r>
      <w:r>
        <w:t>. O banco de dados trata a entrada do usuário estritamente como dado literal, impedindo que comandos maliciosos alterem a estrutura da consulta SQL:</w:t>
      </w:r>
    </w:p>
    <w:p>
      <w:pPr>
        <w:spacing w:before="40" w:after="80"/>
      </w:pPr>
      <w:r>
        <w:rPr>
          <w:rFonts w:ascii="Consolas" w:hAnsi="Consolas"/>
          <w:color w:val="B42828"/>
          <w:sz w:val="19"/>
        </w:rPr>
        <w:t>db.execute("SELECT * FROM clients WHERE full_name LIKE ? ORDER BY id", (f"%{name}%",))</w:t>
      </w:r>
    </w:p>
    <w:p>
      <w:pPr>
        <w:pStyle w:val="Heading3"/>
        <w:spacing w:before="200" w:after="40"/>
      </w:pPr>
      <w:r>
        <w:t>F4: Dockerfile sem Hardening</w:t>
      </w:r>
    </w:p>
    <w:p>
      <w:pPr>
        <w:pStyle w:val="ListBullet"/>
        <w:spacing w:before="20" w:after="20"/>
      </w:pPr>
      <w:r>
        <w:rPr>
          <w:b/>
        </w:rPr>
        <w:t>O Risco:</w:t>
      </w:r>
      <w:r>
        <w:t xml:space="preserve"> Utilizar a imagem base mutável </w:t>
      </w:r>
      <w:r>
        <w:rPr>
          <w:rFonts w:ascii="Consolas" w:hAnsi="Consolas"/>
          <w:color w:val="B42828"/>
          <w:sz w:val="19"/>
        </w:rPr>
        <w:t>python:latest</w:t>
      </w:r>
      <w:r>
        <w:t xml:space="preserve"> e executar o processo principal da aplicação como o superusuário </w:t>
      </w:r>
      <w:r>
        <w:rPr>
          <w:rFonts w:ascii="Consolas" w:hAnsi="Consolas"/>
          <w:color w:val="B42828"/>
          <w:sz w:val="19"/>
        </w:rPr>
        <w:t>root</w:t>
      </w:r>
      <w:r>
        <w:t xml:space="preserve"> do Linux dentro do contêiner. Em caso de brecha na aplicação, o atacante obtém poderes de root dentro do contêiner, facilitando o escape para a máquina hospedeira.</w:t>
      </w:r>
    </w:p>
    <w:p>
      <w:pPr>
        <w:pStyle w:val="ListBullet"/>
        <w:spacing w:before="20" w:after="20"/>
      </w:pPr>
      <w:r>
        <w:rPr>
          <w:b/>
        </w:rPr>
        <w:t>A Solução:</w:t>
      </w:r>
      <w:r>
        <w:t xml:space="preserve"> Fixar a versão específica da imagem base (</w:t>
      </w:r>
      <w:r>
        <w:rPr>
          <w:rFonts w:ascii="Consolas" w:hAnsi="Consolas"/>
          <w:color w:val="B42828"/>
          <w:sz w:val="19"/>
        </w:rPr>
        <w:t>python:3.11-slim</w:t>
      </w:r>
      <w:r>
        <w:t>), criar um usuário sem privilégios (</w:t>
      </w:r>
      <w:r>
        <w:rPr>
          <w:rFonts w:ascii="Consolas" w:hAnsi="Consolas"/>
          <w:color w:val="B42828"/>
          <w:sz w:val="19"/>
        </w:rPr>
        <w:t>USER nonroot</w:t>
      </w:r>
      <w:r>
        <w:t>), configurar multi-stage build e adicionar monitoramento de integridade (</w:t>
      </w:r>
      <w:r>
        <w:rPr>
          <w:rFonts w:ascii="Consolas" w:hAnsi="Consolas"/>
          <w:color w:val="B42828"/>
          <w:sz w:val="19"/>
        </w:rPr>
        <w:t>HEALTHCHECK</w:t>
      </w:r>
      <w:r>
        <w:t>).</w:t>
      </w:r>
    </w:p>
    <w:p>
      <w:pPr>
        <w:pStyle w:val="Heading3"/>
        <w:spacing w:before="200" w:after="40"/>
      </w:pPr>
      <w:r>
        <w:t>F5: Ausência de Security Headers HTTP</w:t>
      </w:r>
    </w:p>
    <w:p>
      <w:pPr>
        <w:pStyle w:val="ListBullet"/>
        <w:spacing w:before="20" w:after="20"/>
      </w:pPr>
      <w:r>
        <w:rPr>
          <w:b/>
        </w:rPr>
        <w:t>O Risco:</w:t>
      </w:r>
      <w:r>
        <w:t xml:space="preserve"> A aplicação respondia a requisições HTTP sem cabeçalhos de segurança essenciais, permitindo ataques de sequestro de clique (Clickjacking), inclusão de scripts de terceiros (XSS) e interpretação incorreta de tipos de arquivos (MIME sniffing).</w:t>
      </w:r>
    </w:p>
    <w:p>
      <w:pPr>
        <w:pStyle w:val="ListBullet"/>
        <w:spacing w:before="20" w:after="20"/>
      </w:pPr>
      <w:r>
        <w:rPr>
          <w:b/>
        </w:rPr>
        <w:t>A Solução:</w:t>
      </w:r>
      <w:r>
        <w:t xml:space="preserve"> Injetar os cabeçalhos defensivos recomendados pela OWASP: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Content-Security-Policy: default-src 'self'</w:t>
      </w:r>
      <w:r>
        <w:t xml:space="preserve"> (impede execução de scripts externos).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X-Frame-Options: DENY</w:t>
      </w:r>
      <w:r>
        <w:t xml:space="preserve"> (impede que a página seja aberta dentro de um iframe falso).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X-Content-Type-Options: nosniff</w:t>
      </w:r>
      <w:r>
        <w:t xml:space="preserve"> (força o navegador a respeitar o tipo MIME).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Strict-Transport-Security</w:t>
      </w:r>
      <w:r>
        <w:t xml:space="preserve"> (HSTS - obriga conexões seguras HTTPS).</w:t>
      </w:r>
    </w:p>
    <w:p>
      <w:pPr>
        <w:pStyle w:val="Heading3"/>
        <w:spacing w:before="200" w:after="40"/>
      </w:pPr>
      <w:r>
        <w:t>F6: Quebra de Menor Privilégio e Elevação de Papel</w:t>
      </w:r>
    </w:p>
    <w:p>
      <w:pPr>
        <w:pStyle w:val="ListBullet"/>
        <w:spacing w:before="20" w:after="20"/>
      </w:pPr>
      <w:r>
        <w:rPr>
          <w:b/>
        </w:rPr>
        <w:t>O Risco:</w:t>
      </w:r>
      <w:r>
        <w:t xml:space="preserve"> Novos usuários eram criados automaticamente com o papel </w:t>
      </w:r>
      <w:r>
        <w:rPr>
          <w:rFonts w:ascii="Consolas" w:hAnsi="Consolas"/>
          <w:color w:val="B42828"/>
          <w:sz w:val="19"/>
        </w:rPr>
        <w:t>admin</w:t>
      </w:r>
      <w:r>
        <w:t xml:space="preserve"> por padrão, e a rota de alteração de papéis </w:t>
      </w:r>
      <w:r>
        <w:rPr>
          <w:rFonts w:ascii="Consolas" w:hAnsi="Consolas"/>
          <w:color w:val="B42828"/>
          <w:sz w:val="19"/>
        </w:rPr>
        <w:t>/admin/users</w:t>
      </w:r>
      <w:r>
        <w:t xml:space="preserve"> não validava se o solicitante possuía privilégios administrativos.</w:t>
      </w:r>
    </w:p>
    <w:p>
      <w:pPr>
        <w:pStyle w:val="ListBullet"/>
        <w:spacing w:before="20" w:after="20"/>
      </w:pPr>
      <w:r>
        <w:rPr>
          <w:b/>
        </w:rPr>
        <w:t>A Solução:</w:t>
      </w:r>
      <w:r>
        <w:t xml:space="preserve"> Definir o papel padrão como </w:t>
      </w:r>
      <w:r>
        <w:rPr>
          <w:rFonts w:ascii="Consolas" w:hAnsi="Consolas"/>
          <w:color w:val="B42828"/>
          <w:sz w:val="19"/>
        </w:rPr>
        <w:t>client</w:t>
      </w:r>
      <w:r>
        <w:t xml:space="preserve"> ou </w:t>
      </w:r>
      <w:r>
        <w:rPr>
          <w:rFonts w:ascii="Consolas" w:hAnsi="Consolas"/>
          <w:color w:val="B42828"/>
          <w:sz w:val="19"/>
        </w:rPr>
        <w:t>staff</w:t>
      </w:r>
      <w:r>
        <w:t xml:space="preserve"> e travar as rotas administrativas com o decorador </w:t>
      </w:r>
      <w:r>
        <w:rPr>
          <w:rFonts w:ascii="Consolas" w:hAnsi="Consolas"/>
          <w:color w:val="B42828"/>
          <w:sz w:val="19"/>
        </w:rPr>
        <w:t>@auth.require_role("admin")</w:t>
      </w:r>
      <w:r>
        <w:t>, retornando HTTP 403 Forbidden para acessos indevidos.</w:t>
      </w:r>
    </w:p>
    <w:p>
      <w:pPr>
        <w:pStyle w:val="Heading3"/>
        <w:spacing w:before="200" w:after="40"/>
      </w:pPr>
      <w:r>
        <w:t>F7: Infraestrutura como Código Permissiva (docker-compose)</w:t>
      </w:r>
    </w:p>
    <w:p>
      <w:pPr>
        <w:pStyle w:val="ListBullet"/>
        <w:spacing w:before="20" w:after="20"/>
      </w:pPr>
      <w:r>
        <w:rPr>
          <w:b/>
        </w:rPr>
        <w:t>O Risco:</w:t>
      </w:r>
      <w:r>
        <w:t xml:space="preserve"> O arquivo </w:t>
      </w:r>
      <w:r>
        <w:rPr>
          <w:rFonts w:ascii="Consolas" w:hAnsi="Consolas"/>
          <w:color w:val="B42828"/>
          <w:sz w:val="19"/>
        </w:rPr>
        <w:t>docker-compose.yml</w:t>
      </w:r>
      <w:r>
        <w:t xml:space="preserve"> declarava a flag </w:t>
      </w:r>
      <w:r>
        <w:rPr>
          <w:rFonts w:ascii="Consolas" w:hAnsi="Consolas"/>
          <w:color w:val="B42828"/>
          <w:sz w:val="19"/>
        </w:rPr>
        <w:t>privileged: true</w:t>
      </w:r>
      <w:r>
        <w:t xml:space="preserve"> e montava o socket interno do Docker do hospedeiro (</w:t>
      </w:r>
      <w:r>
        <w:rPr>
          <w:rFonts w:ascii="Consolas" w:hAnsi="Consolas"/>
          <w:color w:val="B42828"/>
          <w:sz w:val="19"/>
        </w:rPr>
        <w:t>/var/run/docker.sock</w:t>
      </w:r>
      <w:r>
        <w:t>). Isso dava ao contêiner controle irrestrito sobre todo o ambiente de virtualização.</w:t>
      </w:r>
    </w:p>
    <w:p>
      <w:pPr>
        <w:pStyle w:val="ListBullet"/>
        <w:spacing w:before="20" w:after="20"/>
      </w:pPr>
      <w:r>
        <w:rPr>
          <w:b/>
        </w:rPr>
        <w:t>A Solução:</w:t>
      </w:r>
      <w:r>
        <w:t xml:space="preserve"> Remover o modo privilegiado, desvincular o socket do Docker e operar com permissões mínimas de rede.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7. Hardening e Segurança em Contêineres (Docker)</w:t>
      </w:r>
    </w:p>
    <w:p>
      <w:pPr>
        <w:pStyle w:val="Heading3"/>
        <w:spacing w:before="200" w:after="40"/>
      </w:pPr>
      <w:r>
        <w:t>Por que a tag `:latest` é um perigo em produção?</w:t>
      </w:r>
    </w:p>
    <w:p>
      <w:pPr>
        <w:spacing w:before="40" w:after="80"/>
      </w:pPr>
      <w:r>
        <w:t xml:space="preserve">A tag </w:t>
      </w:r>
      <w:r>
        <w:rPr>
          <w:rFonts w:ascii="Consolas" w:hAnsi="Consolas"/>
          <w:color w:val="B42828"/>
          <w:sz w:val="19"/>
        </w:rPr>
        <w:t>:latest</w:t>
      </w:r>
      <w:r>
        <w:t xml:space="preserve"> é mutável e flutuante. A cada nova compilação, ela pode baixar uma versão completamente diferente da linguagem ou do sistema operacional, introduzindo incompatibilidades silenciosas ou novas vulnerabilidades desconhecidas. Em ambientes de missão crítica, a imagem base deve ser sempre </w:t>
      </w:r>
      <w:r>
        <w:rPr>
          <w:b/>
        </w:rPr>
        <w:t>imutável e fixada</w:t>
      </w:r>
      <w:r>
        <w:t xml:space="preserve"> (ex.: </w:t>
      </w:r>
      <w:r>
        <w:rPr>
          <w:rFonts w:ascii="Consolas" w:hAnsi="Consolas"/>
          <w:color w:val="B42828"/>
          <w:sz w:val="19"/>
        </w:rPr>
        <w:t>python:3.11-slim</w:t>
      </w:r>
      <w:r>
        <w:t>).</w:t>
      </w:r>
    </w:p>
    <w:p>
      <w:pPr>
        <w:pStyle w:val="Heading3"/>
        <w:spacing w:before="200" w:after="40"/>
      </w:pPr>
      <w:r>
        <w:t>Por que NUNCA rodar contêineres como `root`?</w:t>
      </w:r>
    </w:p>
    <w:p>
      <w:pPr>
        <w:spacing w:before="40" w:after="80"/>
      </w:pPr>
      <w:r>
        <w:t xml:space="preserve">Por padrão, o usuário dentro de um contêiner Docker possui UID 0 (root). Embora o contêiner isole processos via namespaces e cgroups, vulnerabilidades no kernel do Linux ou má configurações (como volumes mal mapeados) podem permitir um ataque de </w:t>
      </w:r>
      <w:r>
        <w:rPr>
          <w:b/>
        </w:rPr>
        <w:t>Container Escape</w:t>
      </w:r>
      <w:r>
        <w:t>. Se o atacante escapar de um processo que roda como root, ele se torna root do servidor hospedeiro. Executar com usuário sem privilégios (</w:t>
      </w:r>
      <w:r>
        <w:rPr>
          <w:rFonts w:ascii="Consolas" w:hAnsi="Consolas"/>
          <w:color w:val="B42828"/>
          <w:sz w:val="19"/>
        </w:rPr>
        <w:t>USER nonroot</w:t>
      </w:r>
      <w:r>
        <w:t xml:space="preserve"> ou </w:t>
      </w:r>
      <w:r>
        <w:rPr>
          <w:rFonts w:ascii="Consolas" w:hAnsi="Consolas"/>
          <w:color w:val="B42828"/>
          <w:sz w:val="19"/>
        </w:rPr>
        <w:t>USER 10001</w:t>
      </w:r>
      <w:r>
        <w:t>) mitiga quase totalmente esse risco.</w:t>
      </w:r>
    </w:p>
    <w:p>
      <w:pPr>
        <w:pStyle w:val="Heading3"/>
        <w:spacing w:before="200" w:after="40"/>
      </w:pPr>
      <w:r>
        <w:t>Compilação Multi-Stage (Multi-Stage Build)</w:t>
      </w:r>
    </w:p>
    <w:p>
      <w:pPr>
        <w:spacing w:before="40" w:after="80"/>
      </w:pPr>
      <w:r>
        <w:t xml:space="preserve">Técnica onde 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utiliza múltiplos estágios (</w:t>
      </w:r>
      <w:r>
        <w:rPr>
          <w:rFonts w:ascii="Consolas" w:hAnsi="Consolas"/>
          <w:color w:val="B42828"/>
          <w:sz w:val="19"/>
        </w:rPr>
        <w:t>FROM ... AS builder</w:t>
      </w:r>
      <w:r>
        <w:t xml:space="preserve"> e </w:t>
      </w:r>
      <w:r>
        <w:rPr>
          <w:rFonts w:ascii="Consolas" w:hAnsi="Consolas"/>
          <w:color w:val="B42828"/>
          <w:sz w:val="19"/>
        </w:rPr>
        <w:t>FROM ... AS runner</w:t>
      </w:r>
      <w:r>
        <w:t>). O primeiro estágio contém compiladores e pacotes de desenvolvimento pesados para gerar os binários; o segundo estágio copia apenas os artefatos finais para uma imagem limpa e enxuta, reduzindo drasticamente a superfície de ataque e o tamanho do contêiner.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8. Auditoria, Observabilidade e Não-Repúdio</w:t>
      </w:r>
    </w:p>
    <w:p>
      <w:pPr>
        <w:pStyle w:val="Heading3"/>
        <w:spacing w:before="200" w:after="40"/>
      </w:pPr>
      <w:r>
        <w:t>O Princípio do Não-Repúdio (Non-Repudiation)</w:t>
      </w:r>
    </w:p>
    <w:p>
      <w:pPr>
        <w:spacing w:before="40" w:after="80"/>
      </w:pPr>
      <w:r>
        <w:t>Garantia técnica de que uma entidade que realizou determinada transação ou modificação no sistema não consiga negar a autoria de sua ação. Isso é obtido através de registros de auditoria imutáveis com registros de data/hora (timestamp), identificador do usuário e endereço IP.</w:t>
      </w:r>
    </w:p>
    <w:p>
      <w:pPr>
        <w:pStyle w:val="Heading3"/>
        <w:spacing w:before="200" w:after="40"/>
      </w:pPr>
      <w:r>
        <w:t>O que uma Tabela de Auditoria (`audit_log`) Deve Registrar?</w:t>
      </w:r>
    </w:p>
    <w:p>
      <w:pPr>
        <w:spacing w:before="40" w:after="80"/>
      </w:pPr>
      <w:r>
        <w:t>Para atender à LGPD e às normas de conformidade bancária/concierge, o sistema deve registrar:</w:t>
      </w:r>
    </w:p>
    <w:p>
      <w:pPr>
        <w:pStyle w:val="ListNumber"/>
        <w:spacing w:before="20" w:after="20"/>
      </w:pPr>
      <w:r>
        <w:rPr>
          <w:b/>
        </w:rPr>
        <w:t>Quem:</w:t>
      </w:r>
      <w:r>
        <w:t xml:space="preserve"> Identificador do usuário que realizou a ação (</w:t>
      </w:r>
      <w:r>
        <w:rPr>
          <w:rFonts w:ascii="Consolas" w:hAnsi="Consolas"/>
          <w:color w:val="B42828"/>
          <w:sz w:val="19"/>
        </w:rPr>
        <w:t>user_id</w:t>
      </w:r>
      <w:r>
        <w:t>).</w:t>
      </w:r>
    </w:p>
    <w:p>
      <w:pPr>
        <w:pStyle w:val="ListNumber"/>
        <w:spacing w:before="20" w:after="20"/>
      </w:pPr>
      <w:r>
        <w:rPr>
          <w:b/>
        </w:rPr>
        <w:t>Quando:</w:t>
      </w:r>
      <w:r>
        <w:t xml:space="preserve"> Timestamp exato em fuso horário universal (</w:t>
      </w:r>
      <w:r>
        <w:rPr>
          <w:rFonts w:ascii="Consolas" w:hAnsi="Consolas"/>
          <w:color w:val="B42828"/>
          <w:sz w:val="19"/>
        </w:rPr>
        <w:t>timestamp UTC</w:t>
      </w:r>
      <w:r>
        <w:t>).</w:t>
      </w:r>
    </w:p>
    <w:p>
      <w:pPr>
        <w:pStyle w:val="ListNumber"/>
        <w:spacing w:before="20" w:after="20"/>
      </w:pPr>
      <w:r>
        <w:rPr>
          <w:b/>
        </w:rPr>
        <w:t>De Onde:</w:t>
      </w:r>
      <w:r>
        <w:t xml:space="preserve"> Endereço IP e agente de navegação do solicitante (</w:t>
      </w:r>
      <w:r>
        <w:rPr>
          <w:rFonts w:ascii="Consolas" w:hAnsi="Consolas"/>
          <w:color w:val="B42828"/>
          <w:sz w:val="19"/>
        </w:rPr>
        <w:t>ip_address</w:t>
      </w:r>
      <w:r>
        <w:t>).</w:t>
      </w:r>
    </w:p>
    <w:p>
      <w:pPr>
        <w:pStyle w:val="ListNumber"/>
        <w:spacing w:before="20" w:after="20"/>
      </w:pPr>
      <w:r>
        <w:rPr>
          <w:b/>
        </w:rPr>
        <w:t>O Quê:</w:t>
      </w:r>
      <w:r>
        <w:t xml:space="preserve"> Ação executada (ex.: </w:t>
      </w:r>
      <w:r>
        <w:rPr>
          <w:rFonts w:ascii="Consolas" w:hAnsi="Consolas"/>
          <w:color w:val="B42828"/>
          <w:sz w:val="19"/>
        </w:rPr>
        <w:t>CREATE_USER</w:t>
      </w:r>
      <w:r>
        <w:t xml:space="preserve">, </w:t>
      </w:r>
      <w:r>
        <w:rPr>
          <w:rFonts w:ascii="Consolas" w:hAnsi="Consolas"/>
          <w:color w:val="B42828"/>
          <w:sz w:val="19"/>
        </w:rPr>
        <w:t>DELETE_BOOKING</w:t>
      </w:r>
      <w:r>
        <w:t xml:space="preserve">, </w:t>
      </w:r>
      <w:r>
        <w:rPr>
          <w:rFonts w:ascii="Consolas" w:hAnsi="Consolas"/>
          <w:color w:val="B42828"/>
          <w:sz w:val="19"/>
        </w:rPr>
        <w:t>ACCESS_VIP_DATA</w:t>
      </w:r>
      <w:r>
        <w:t>).</w:t>
      </w:r>
    </w:p>
    <w:p>
      <w:pPr>
        <w:pStyle w:val="ListNumber"/>
        <w:spacing w:before="20" w:after="20"/>
      </w:pPr>
      <w:r>
        <w:rPr>
          <w:b/>
        </w:rPr>
        <w:t>Resultado:</w:t>
      </w:r>
      <w:r>
        <w:t xml:space="preserve"> Se a operação foi autorizada (</w:t>
      </w:r>
      <w:r>
        <w:rPr>
          <w:rFonts w:ascii="Consolas" w:hAnsi="Consolas"/>
          <w:color w:val="B42828"/>
          <w:sz w:val="19"/>
        </w:rPr>
        <w:t>SUCCESS</w:t>
      </w:r>
      <w:r>
        <w:t>) ou bloqueada (</w:t>
      </w:r>
      <w:r>
        <w:rPr>
          <w:rFonts w:ascii="Consolas" w:hAnsi="Consolas"/>
          <w:color w:val="B42828"/>
          <w:sz w:val="19"/>
        </w:rPr>
        <w:t>DENIED/FAILED</w:t>
      </w:r>
      <w: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9. Gestão de Riscos, Exceções e Métricas Corporativas</w:t>
      </w:r>
    </w:p>
    <w:p>
      <w:pPr>
        <w:pStyle w:val="Heading3"/>
        <w:spacing w:before="200" w:after="40"/>
      </w:pPr>
      <w:r>
        <w:t>CVE (Common Vulnerabilities and Exposures)</w:t>
      </w:r>
    </w:p>
    <w:p>
      <w:pPr>
        <w:spacing w:before="40" w:after="80"/>
      </w:pPr>
      <w:r>
        <w:t xml:space="preserve">Identificador internacional padronizado atribuído a vulnerabilidades públicas (ex.: </w:t>
      </w:r>
      <w:r>
        <w:rPr>
          <w:rFonts w:ascii="Consolas" w:hAnsi="Consolas"/>
          <w:color w:val="B42828"/>
          <w:sz w:val="19"/>
        </w:rPr>
        <w:t>CVE-2024-1135</w:t>
      </w:r>
      <w:r>
        <w:t>). Permite que times de segurança e ferramentas no mundo inteiro falem a mesma língua sobre uma falha específica.</w:t>
      </w:r>
    </w:p>
    <w:p>
      <w:pPr>
        <w:pStyle w:val="Heading3"/>
        <w:spacing w:before="200" w:after="40"/>
      </w:pPr>
      <w:r>
        <w:t>CVSS (Common Vulnerability Scoring System)</w:t>
      </w:r>
    </w:p>
    <w:p>
      <w:pPr>
        <w:spacing w:before="40" w:after="80"/>
      </w:pPr>
      <w:r>
        <w:t xml:space="preserve">Métrica numérica que vai de </w:t>
      </w:r>
      <w:r>
        <w:rPr>
          <w:rFonts w:ascii="Consolas" w:hAnsi="Consolas"/>
          <w:color w:val="B42828"/>
          <w:sz w:val="19"/>
        </w:rPr>
        <w:t>0.0</w:t>
      </w:r>
      <w:r>
        <w:t xml:space="preserve"> a </w:t>
      </w:r>
      <w:r>
        <w:rPr>
          <w:rFonts w:ascii="Consolas" w:hAnsi="Consolas"/>
          <w:color w:val="B42828"/>
          <w:sz w:val="19"/>
        </w:rPr>
        <w:t>10.0</w:t>
      </w:r>
      <w:r>
        <w:t xml:space="preserve"> utilizada para classificar a severidade de uma vulnerabilidade:</w:t>
      </w:r>
    </w:p>
    <w:p>
      <w:pPr>
        <w:pStyle w:val="ListBullet"/>
        <w:spacing w:before="20" w:after="20"/>
      </w:pPr>
      <w:r>
        <w:rPr>
          <w:b/>
        </w:rPr>
        <w:t>0.1 a 3.9:</w:t>
      </w:r>
      <w:r>
        <w:t xml:space="preserve"> Baixa (Low)</w:t>
      </w:r>
    </w:p>
    <w:p>
      <w:pPr>
        <w:pStyle w:val="ListBullet"/>
        <w:spacing w:before="20" w:after="20"/>
      </w:pPr>
      <w:r>
        <w:rPr>
          <w:b/>
        </w:rPr>
        <w:t>4.0 a 6.9:</w:t>
      </w:r>
      <w:r>
        <w:t xml:space="preserve"> Média (Medium)</w:t>
      </w:r>
    </w:p>
    <w:p>
      <w:pPr>
        <w:pStyle w:val="ListBullet"/>
        <w:spacing w:before="20" w:after="20"/>
      </w:pPr>
      <w:r>
        <w:rPr>
          <w:b/>
        </w:rPr>
        <w:t>7.0 a 8.9:</w:t>
      </w:r>
      <w:r>
        <w:t xml:space="preserve"> Alta (High)</w:t>
      </w:r>
    </w:p>
    <w:p>
      <w:pPr>
        <w:pStyle w:val="ListBullet"/>
        <w:spacing w:before="20" w:after="20"/>
      </w:pPr>
      <w:r>
        <w:rPr>
          <w:b/>
        </w:rPr>
        <w:t>9.0 a 10.0:</w:t>
      </w:r>
      <w:r>
        <w:t xml:space="preserve"> Crítica (Critical)</w:t>
      </w:r>
    </w:p>
    <w:p>
      <w:pPr>
        <w:pStyle w:val="Heading3"/>
        <w:spacing w:before="200" w:after="40"/>
      </w:pPr>
      <w:r>
        <w:t>Falso Positivo (False Positive)</w:t>
      </w:r>
    </w:p>
    <w:p>
      <w:pPr>
        <w:spacing w:before="40" w:after="80"/>
      </w:pPr>
      <w:r>
        <w:t>Alerta emitido por uma ferramenta de segurança que sinaliza incorretamente um trecho de código ou biblioteca como vulnerável, quando na verdade, pelo contexto ou arquitetura do sistema, o risco não existe ou a função vulnerável não é invocada.</w:t>
      </w:r>
    </w:p>
    <w:p>
      <w:pPr>
        <w:pStyle w:val="Heading3"/>
        <w:spacing w:before="200" w:after="40"/>
      </w:pPr>
      <w:r>
        <w:t>Aceite Formal de Risco e `.trivyignore`</w:t>
      </w:r>
    </w:p>
    <w:p>
      <w:pPr>
        <w:spacing w:before="40" w:after="80"/>
      </w:pPr>
      <w:r>
        <w:t xml:space="preserve">Quando uma biblioteca apresenta um CVE conhecido, mas a falha não tem impacto prático na aplicação e o mantenedor ainda não lançou uma versão corrigida, a governança de segurança permite um </w:t>
      </w:r>
      <w:r>
        <w:rPr>
          <w:b/>
        </w:rPr>
        <w:t>Aceite Formal de Risco</w:t>
      </w:r>
      <w:r>
        <w:t xml:space="preserve">. No Trivy, isso é registrado no arquivo </w:t>
      </w:r>
      <w:r>
        <w:rPr>
          <w:rFonts w:ascii="Consolas" w:hAnsi="Consolas"/>
          <w:color w:val="B42828"/>
          <w:sz w:val="19"/>
        </w:rPr>
        <w:t>.trivyignore</w:t>
      </w:r>
      <w:r>
        <w:t>, que deve conter obrigatoriamente: o CVE aceito, a justificativa técnica detalhada e uma data limite de expiração para revisão.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