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left"/>
      </w:pPr>
      <w:r>
        <w:rPr>
          <w:rFonts w:ascii="Aptos Display" w:hAnsi="Aptos Display"/>
          <w:b/>
          <w:color w:val="17202A"/>
          <w:sz w:val="56"/>
        </w:rPr>
        <w:t>OLIST CUSTOMER</w:t>
        <w:br/>
        <w:t>PURCHASE ANALYTICS</w:t>
      </w:r>
    </w:p>
    <w:p>
      <w:r>
        <w:rPr>
          <w:b/>
          <w:color w:val="334155"/>
          <w:sz w:val="30"/>
        </w:rPr>
        <w:t>Project Report</w:t>
      </w:r>
    </w:p>
    <w:p>
      <w:pPr>
        <w:spacing w:after="320"/>
      </w:pPr>
      <w:r>
        <w:rPr>
          <w:color w:val="5B6573"/>
          <w:sz w:val="22"/>
        </w:rPr>
        <w:t>Customer-level behavioral analytics and repeat-purchase prediction using the Olist Brazilian e-commerce dataset.</w:t>
      </w:r>
    </w:p>
    <w:tbl>
      <w:tblPr>
        <w:tblW w:type="auto" w:w="0"/>
        <w:jc w:val="center"/>
        <w:tblLook w:firstColumn="1" w:firstRow="1" w:lastColumn="0" w:lastRow="0" w:noHBand="0" w:noVBand="1" w:val="04A0"/>
      </w:tblPr>
      <w:tblGrid>
        <w:gridCol w:w="10080"/>
      </w:tblGrid>
      <w:tr>
        <w:tc>
          <w:tcPr>
            <w:tcW w:type="dxa" w:w="10080"/>
            <w:shd w:fill="F1F5F9"/>
          </w:tcPr>
          <w:p>
            <w:pPr>
              <w:spacing w:after="0"/>
              <w:ind w:left="40"/>
            </w:pPr>
            <w:r/>
            <w:r>
              <w:rPr>
                <w:b/>
                <w:color w:val="17202A"/>
                <w:sz w:val="19"/>
              </w:rPr>
              <w:t>Objective: determine whether historical customer purchasing behavior contains useful signal for predicting whether an existing customer will make another delivered purchase during a defined future observation period.</w:t>
            </w:r>
          </w:p>
        </w:tc>
      </w:tr>
    </w:tbl>
    <w:p>
      <w:pPr>
        <w:spacing w:after="0"/>
      </w:pP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232"/>
            <w:vAlign w:val="top"/>
            <w:shd w:fill="334155"/>
          </w:tcPr>
          <w:p>
            <w:pPr>
              <w:spacing w:after="0"/>
            </w:pPr>
            <w:r/>
            <w:r>
              <w:rPr>
                <w:rFonts w:ascii="Aptos" w:hAnsi="Aptos"/>
                <w:b/>
                <w:color w:val="FFFFFF"/>
                <w:sz w:val="17"/>
              </w:rPr>
              <w:t>62,145</w:t>
            </w:r>
          </w:p>
        </w:tc>
        <w:tc>
          <w:tcPr>
            <w:tcW w:type="dxa" w:w="2232"/>
            <w:vAlign w:val="top"/>
            <w:shd w:fill="334155"/>
          </w:tcPr>
          <w:p>
            <w:pPr>
              <w:spacing w:after="0"/>
            </w:pPr>
            <w:r/>
            <w:r>
              <w:rPr>
                <w:rFonts w:ascii="Aptos" w:hAnsi="Aptos"/>
                <w:b/>
                <w:color w:val="FFFFFF"/>
                <w:sz w:val="17"/>
              </w:rPr>
              <w:t>601</w:t>
            </w:r>
          </w:p>
        </w:tc>
        <w:tc>
          <w:tcPr>
            <w:tcW w:type="dxa" w:w="2232"/>
            <w:vAlign w:val="top"/>
            <w:shd w:fill="334155"/>
          </w:tcPr>
          <w:p>
            <w:pPr>
              <w:spacing w:after="0"/>
            </w:pPr>
            <w:r/>
            <w:r>
              <w:rPr>
                <w:rFonts w:ascii="Aptos" w:hAnsi="Aptos"/>
                <w:b/>
                <w:color w:val="FFFFFF"/>
                <w:sz w:val="17"/>
              </w:rPr>
              <w:t>0.97%</w:t>
            </w:r>
          </w:p>
        </w:tc>
        <w:tc>
          <w:tcPr>
            <w:tcW w:type="dxa" w:w="2232"/>
            <w:vAlign w:val="top"/>
            <w:shd w:fill="334155"/>
          </w:tcPr>
          <w:p>
            <w:pPr>
              <w:spacing w:after="0"/>
            </w:pPr>
            <w:r/>
            <w:r>
              <w:rPr>
                <w:rFonts w:ascii="Aptos" w:hAnsi="Aptos"/>
                <w:b/>
                <w:color w:val="FFFFFF"/>
                <w:sz w:val="17"/>
              </w:rPr>
              <w:t>0.618</w:t>
            </w:r>
          </w:p>
        </w:tc>
      </w:tr>
      <w:tr>
        <w:tc>
          <w:tcPr>
            <w:tcW w:type="dxa" w:w="2232"/>
            <w:vAlign w:val="top"/>
          </w:tcPr>
          <w:p>
            <w:pPr>
              <w:spacing w:after="0"/>
            </w:pPr>
            <w:r/>
            <w:r>
              <w:rPr>
                <w:rFonts w:ascii="Aptos" w:hAnsi="Aptos"/>
                <w:b w:val="0"/>
                <w:color w:val="303841"/>
                <w:sz w:val="16"/>
              </w:rPr>
              <w:t>Historical customers</w:t>
            </w:r>
          </w:p>
        </w:tc>
        <w:tc>
          <w:tcPr>
            <w:tcW w:type="dxa" w:w="2232"/>
            <w:vAlign w:val="top"/>
          </w:tcPr>
          <w:p>
            <w:pPr>
              <w:spacing w:after="0"/>
            </w:pPr>
            <w:r/>
            <w:r>
              <w:rPr>
                <w:rFonts w:ascii="Aptos" w:hAnsi="Aptos"/>
                <w:b w:val="0"/>
                <w:color w:val="303841"/>
                <w:sz w:val="16"/>
              </w:rPr>
              <w:t>Repeat purchasers</w:t>
            </w:r>
          </w:p>
        </w:tc>
        <w:tc>
          <w:tcPr>
            <w:tcW w:type="dxa" w:w="2232"/>
            <w:vAlign w:val="top"/>
          </w:tcPr>
          <w:p>
            <w:pPr>
              <w:spacing w:after="0"/>
            </w:pPr>
            <w:r/>
            <w:r>
              <w:rPr>
                <w:rFonts w:ascii="Aptos" w:hAnsi="Aptos"/>
                <w:b w:val="0"/>
                <w:color w:val="303841"/>
                <w:sz w:val="16"/>
              </w:rPr>
              <w:t>Positive-class rate</w:t>
            </w:r>
          </w:p>
        </w:tc>
        <w:tc>
          <w:tcPr>
            <w:tcW w:type="dxa" w:w="2232"/>
            <w:vAlign w:val="top"/>
          </w:tcPr>
          <w:p>
            <w:pPr>
              <w:spacing w:after="0"/>
            </w:pPr>
            <w:r/>
            <w:r>
              <w:rPr>
                <w:rFonts w:ascii="Aptos" w:hAnsi="Aptos"/>
                <w:b w:val="0"/>
                <w:color w:val="303841"/>
                <w:sz w:val="16"/>
              </w:rPr>
              <w:t>ROC-AUC</w:t>
            </w:r>
          </w:p>
        </w:tc>
      </w:tr>
    </w:tbl>
    <w:p>
      <w:pPr>
        <w:spacing w:after="0"/>
      </w:pPr>
    </w:p>
    <w:p/>
    <w:p>
      <w:r>
        <w:rPr>
          <w:b/>
        </w:rPr>
        <w:t xml:space="preserve">Project repository: </w:t>
      </w:r>
      <w:r>
        <w:t>https://github.com/ReinSoup/OLIST-Customer-Purchase-Analytics</w:t>
      </w:r>
    </w:p>
    <w:p>
      <w:r>
        <w:rPr>
          <w:b/>
        </w:rPr>
        <w:t xml:space="preserve">Related ETL project: </w:t>
      </w:r>
      <w:r>
        <w:t>https://github.com/ReinSoup/OLIST-Data-Quality-ETL</w:t>
      </w:r>
    </w:p>
    <w:p>
      <w:pPr>
        <w:spacing w:before="500"/>
      </w:pPr>
      <w:r>
        <w:rPr>
          <w:b/>
          <w:sz w:val="22"/>
        </w:rPr>
        <w:t>Scope of submitted implementation</w:t>
      </w:r>
    </w:p>
    <w:p>
      <w:pPr>
        <w:pStyle w:val="ListBullet"/>
        <w:spacing w:after="60"/>
      </w:pPr>
      <w:r>
        <w:t>Data validation and customer identity resolution</w:t>
      </w:r>
    </w:p>
    <w:p>
      <w:pPr>
        <w:pStyle w:val="ListBullet"/>
        <w:spacing w:after="60"/>
      </w:pPr>
      <w:r>
        <w:t>Temporal feature/target separation</w:t>
      </w:r>
    </w:p>
    <w:p>
      <w:pPr>
        <w:pStyle w:val="ListBullet"/>
        <w:spacing w:after="60"/>
      </w:pPr>
      <w:r>
        <w:t>RFM and Average Order Value feature engineering</w:t>
      </w:r>
    </w:p>
    <w:p>
      <w:pPr>
        <w:pStyle w:val="ListBullet"/>
        <w:spacing w:after="60"/>
      </w:pPr>
      <w:r>
        <w:t>Exploratory analysis and class-balance assessment</w:t>
      </w:r>
    </w:p>
    <w:p>
      <w:pPr>
        <w:pStyle w:val="ListBullet"/>
        <w:spacing w:after="60"/>
      </w:pPr>
      <w:r>
        <w:t>Interpretable Logistic Regression baseline</w:t>
      </w:r>
    </w:p>
    <w:p>
      <w:pPr>
        <w:pStyle w:val="ListBullet"/>
        <w:spacing w:after="60"/>
      </w:pPr>
      <w:r>
        <w:t>Imbalance-aware evaluation and threshold analysis</w:t>
      </w:r>
    </w:p>
    <w:p>
      <w:r>
        <w:br w:type="page"/>
      </w:r>
    </w:p>
    <w:p>
      <w:pPr>
        <w:pStyle w:val="Heading1"/>
      </w:pPr>
      <w:r>
        <w:t>1. Executive Summary</w:t>
      </w:r>
    </w:p>
    <w:p>
      <w:r>
        <w:t>This project extends a previously completed Olist Data Quality &amp; ETL project into a customer analytics and machine learning workflow. The cleaned and validated Olist data is transformed from transactional tables into a customer-level analytical dataset, with historical behavior used as model input and future delivered purchases used as the observed outcome.</w:t>
      </w:r>
    </w:p>
    <w:p>
      <w:r>
        <w:t>The analytical design emphasizes correctness before model complexity. Customer identity is resolved using customer_unique_id, qualifying purchases are restricted to delivered orders, order-item monetary values are aggregated to order level before customer aggregation, and a temporal cutoff separates feature information from the future target.</w:t>
      </w:r>
    </w:p>
    <w:p>
      <w:r>
        <w:t>The final modeling population contains 62,145 customers. Only 601 customers, or approximately 0.97%, made another delivered purchase during the future observation period. This severe class imbalance makes accuracy unsuitable as the primary performance measure.</w:t>
      </w:r>
    </w:p>
    <w:p>
      <w:r>
        <w:t>An interpretable Logistic Regression baseline with StandardScaler and balanced class weights achieved 56.67% recall and 1.36% precision at the default 0.50 threshold, with ROC-AUC of 0.618 and Average Precision of 2.18%. Threshold analysis showed that recall could be increased to 100%, but precision remained close to the underlying positive-class rate.</w:t>
      </w:r>
    </w:p>
    <w:tbl>
      <w:tblPr>
        <w:tblW w:type="auto" w:w="0"/>
        <w:jc w:val="center"/>
        <w:tblLook w:firstColumn="1" w:firstRow="1" w:lastColumn="0" w:lastRow="0" w:noHBand="0" w:noVBand="1" w:val="04A0"/>
      </w:tblPr>
      <w:tblGrid>
        <w:gridCol w:w="10080"/>
      </w:tblGrid>
      <w:tr>
        <w:tc>
          <w:tcPr>
            <w:tcW w:type="dxa" w:w="10080"/>
            <w:shd w:fill="F1F5F9"/>
          </w:tcPr>
          <w:p>
            <w:pPr>
              <w:spacing w:after="0"/>
              <w:ind w:left="40"/>
            </w:pPr>
            <w:r/>
            <w:r>
              <w:rPr>
                <w:b/>
                <w:color w:val="17202A"/>
                <w:sz w:val="19"/>
              </w:rPr>
              <w:t>The result is best interpreted as evidence of some predictive signal, but limited separation from a small initial feature set. The project intentionally stops at this defensible baseline and documents specific next steps rather than overstating model performance.</w:t>
            </w:r>
          </w:p>
        </w:tc>
      </w:tr>
    </w:tbl>
    <w:p>
      <w:pPr>
        <w:spacing w:after="0"/>
      </w:pPr>
    </w:p>
    <w:p>
      <w:pPr>
        <w:pStyle w:val="Heading2"/>
      </w:pPr>
      <w:r>
        <w:t>What the project demonstrates</w:t>
      </w:r>
    </w:p>
    <w:p>
      <w:pPr>
        <w:pStyle w:val="ListBullet"/>
        <w:spacing w:after="60"/>
      </w:pPr>
      <w:r>
        <w:t>Business-question translation into a measurable prediction problem.</w:t>
      </w:r>
    </w:p>
    <w:p>
      <w:pPr>
        <w:pStyle w:val="ListBullet"/>
        <w:spacing w:after="60"/>
      </w:pPr>
      <w:r>
        <w:t>Attention to customer identity and analytical grain.</w:t>
      </w:r>
    </w:p>
    <w:p>
      <w:pPr>
        <w:pStyle w:val="ListBullet"/>
        <w:spacing w:after="60"/>
      </w:pPr>
      <w:r>
        <w:t>Temporal reasoning and prevention of future-information leakage.</w:t>
      </w:r>
    </w:p>
    <w:p>
      <w:pPr>
        <w:pStyle w:val="ListBullet"/>
        <w:spacing w:after="60"/>
      </w:pPr>
      <w:r>
        <w:t>Order-level aggregation before customer-level monetary analysis.</w:t>
      </w:r>
    </w:p>
    <w:p>
      <w:pPr>
        <w:pStyle w:val="ListBullet"/>
        <w:spacing w:after="60"/>
      </w:pPr>
      <w:r>
        <w:t>Feature engineering using interpretable behavioral measures.</w:t>
      </w:r>
    </w:p>
    <w:p>
      <w:pPr>
        <w:pStyle w:val="ListBullet"/>
        <w:spacing w:after="60"/>
      </w:pPr>
      <w:r>
        <w:t>Evaluation designed around a severely imbalanced target.</w:t>
      </w:r>
    </w:p>
    <w:p>
      <w:pPr>
        <w:pStyle w:val="ListBullet"/>
        <w:spacing w:after="60"/>
      </w:pPr>
      <w:r>
        <w:t>Clear documentation of model limitations and future improvements.</w:t>
      </w:r>
    </w:p>
    <w:p>
      <w:r>
        <w:br w:type="page"/>
      </w:r>
    </w:p>
    <w:p>
      <w:pPr>
        <w:pStyle w:val="Heading1"/>
      </w:pPr>
      <w:r>
        <w:t>2. Business Problem and Project Scope</w:t>
      </w:r>
    </w:p>
    <w:tbl>
      <w:tblPr>
        <w:tblW w:type="auto" w:w="0"/>
        <w:jc w:val="center"/>
        <w:tblLook w:firstColumn="1" w:firstRow="1" w:lastColumn="0" w:lastRow="0" w:noHBand="0" w:noVBand="1" w:val="04A0"/>
      </w:tblPr>
      <w:tblGrid>
        <w:gridCol w:w="10080"/>
      </w:tblGrid>
      <w:tr>
        <w:tc>
          <w:tcPr>
            <w:tcW w:type="dxa" w:w="10080"/>
            <w:shd w:fill="F1F5F9"/>
          </w:tcPr>
          <w:p>
            <w:pPr>
              <w:spacing w:after="0"/>
              <w:ind w:left="40"/>
            </w:pPr>
            <w:r/>
            <w:r>
              <w:rPr>
                <w:b/>
                <w:color w:val="17202A"/>
                <w:sz w:val="19"/>
              </w:rPr>
              <w:t>Core question: Can historical customer purchasing behavior be used to predict whether a customer will make another qualifying purchase during a future observation period?</w:t>
            </w:r>
          </w:p>
        </w:tc>
      </w:tr>
    </w:tbl>
    <w:p>
      <w:pPr>
        <w:spacing w:after="0"/>
      </w:pPr>
    </w:p>
    <w:p>
      <w:r>
        <w:t>The project deliberately avoids calling this traditional subscription churn. In a subscription setting, churn is usually tied to a cancellation or lapse event. Olist instead represents marketplace transactions, so the observable event is whether a customer purchases again.</w:t>
      </w:r>
    </w:p>
    <w:p>
      <w:r>
        <w:t>The implemented workflow is intentionally scoped as an MVP. It establishes a complete analytical chain without adding complexity that cannot yet be justified by the data.</w:t>
      </w:r>
    </w:p>
    <w:tbl>
      <w:tblPr>
        <w:tblStyle w:val="TableGrid"/>
        <w:tblW w:type="auto" w:w="0"/>
        <w:jc w:val="center"/>
        <w:tblLook w:firstColumn="1" w:firstRow="1" w:lastColumn="0" w:lastRow="0" w:noHBand="0" w:noVBand="1" w:val="04A0"/>
      </w:tblPr>
      <w:tblGrid>
        <w:gridCol w:w="5040"/>
        <w:gridCol w:w="5040"/>
      </w:tblGrid>
      <w:tr>
        <w:tc>
          <w:tcPr>
            <w:tcW w:type="dxa" w:w="4608"/>
            <w:vAlign w:val="top"/>
            <w:shd w:fill="334155"/>
          </w:tcPr>
          <w:p>
            <w:pPr>
              <w:spacing w:after="0"/>
            </w:pPr>
            <w:r/>
            <w:r>
              <w:rPr>
                <w:rFonts w:ascii="Aptos" w:hAnsi="Aptos"/>
                <w:b/>
                <w:color w:val="FFFFFF"/>
                <w:sz w:val="17"/>
              </w:rPr>
              <w:t>Implemented in this report</w:t>
            </w:r>
          </w:p>
        </w:tc>
        <w:tc>
          <w:tcPr>
            <w:tcW w:type="dxa" w:w="4608"/>
            <w:vAlign w:val="top"/>
            <w:shd w:fill="334155"/>
          </w:tcPr>
          <w:p>
            <w:pPr>
              <w:spacing w:after="0"/>
            </w:pPr>
            <w:r/>
            <w:r>
              <w:rPr>
                <w:rFonts w:ascii="Aptos" w:hAnsi="Aptos"/>
                <w:b/>
                <w:color w:val="FFFFFF"/>
                <w:sz w:val="17"/>
              </w:rPr>
              <w:t>Not part of the submitted baseline</w:t>
            </w:r>
          </w:p>
        </w:tc>
      </w:tr>
      <w:tr>
        <w:tc>
          <w:tcPr>
            <w:tcW w:type="dxa" w:w="4608"/>
            <w:vAlign w:val="top"/>
          </w:tcPr>
          <w:p>
            <w:pPr>
              <w:spacing w:after="0"/>
            </w:pPr>
            <w:r/>
            <w:r>
              <w:rPr>
                <w:rFonts w:ascii="Aptos" w:hAnsi="Aptos"/>
                <w:b w:val="0"/>
                <w:color w:val="303841"/>
                <w:sz w:val="16"/>
              </w:rPr>
              <w:t>Cleaned-data loading and validation</w:t>
            </w:r>
          </w:p>
        </w:tc>
        <w:tc>
          <w:tcPr>
            <w:tcW w:type="dxa" w:w="4608"/>
            <w:vAlign w:val="top"/>
          </w:tcPr>
          <w:p>
            <w:pPr>
              <w:spacing w:after="0"/>
            </w:pPr>
            <w:r/>
            <w:r>
              <w:rPr>
                <w:rFonts w:ascii="Aptos" w:hAnsi="Aptos"/>
                <w:b w:val="0"/>
                <w:color w:val="303841"/>
                <w:sz w:val="16"/>
              </w:rPr>
              <w:t>K-Means segmentation</w:t>
            </w:r>
          </w:p>
        </w:tc>
      </w:tr>
      <w:tr>
        <w:tc>
          <w:tcPr>
            <w:tcW w:type="dxa" w:w="4608"/>
            <w:vAlign w:val="top"/>
          </w:tcPr>
          <w:p>
            <w:pPr>
              <w:spacing w:after="0"/>
            </w:pPr>
            <w:r/>
            <w:r>
              <w:rPr>
                <w:rFonts w:ascii="Aptos" w:hAnsi="Aptos"/>
                <w:b w:val="0"/>
                <w:color w:val="303841"/>
                <w:sz w:val="16"/>
              </w:rPr>
              <w:t>Customer identity validation</w:t>
            </w:r>
          </w:p>
        </w:tc>
        <w:tc>
          <w:tcPr>
            <w:tcW w:type="dxa" w:w="4608"/>
            <w:vAlign w:val="top"/>
          </w:tcPr>
          <w:p>
            <w:pPr>
              <w:spacing w:after="0"/>
            </w:pPr>
            <w:r/>
            <w:r>
              <w:rPr>
                <w:rFonts w:ascii="Aptos" w:hAnsi="Aptos"/>
                <w:b w:val="0"/>
                <w:color w:val="303841"/>
                <w:sz w:val="16"/>
              </w:rPr>
              <w:t>Random Forest / XGBoost comparison</w:t>
            </w:r>
          </w:p>
        </w:tc>
      </w:tr>
      <w:tr>
        <w:tc>
          <w:tcPr>
            <w:tcW w:type="dxa" w:w="4608"/>
            <w:vAlign w:val="top"/>
          </w:tcPr>
          <w:p>
            <w:pPr>
              <w:spacing w:after="0"/>
            </w:pPr>
            <w:r/>
            <w:r>
              <w:rPr>
                <w:rFonts w:ascii="Aptos" w:hAnsi="Aptos"/>
                <w:b w:val="0"/>
                <w:color w:val="303841"/>
                <w:sz w:val="16"/>
              </w:rPr>
              <w:t>Delivered-order qualification</w:t>
            </w:r>
          </w:p>
        </w:tc>
        <w:tc>
          <w:tcPr>
            <w:tcW w:type="dxa" w:w="4608"/>
            <w:vAlign w:val="top"/>
          </w:tcPr>
          <w:p>
            <w:pPr>
              <w:spacing w:after="0"/>
            </w:pPr>
            <w:r/>
            <w:r>
              <w:rPr>
                <w:rFonts w:ascii="Aptos" w:hAnsi="Aptos"/>
                <w:b w:val="0"/>
                <w:color w:val="303841"/>
                <w:sz w:val="16"/>
              </w:rPr>
              <w:t>SHAP / advanced explainability</w:t>
            </w:r>
          </w:p>
        </w:tc>
      </w:tr>
      <w:tr>
        <w:tc>
          <w:tcPr>
            <w:tcW w:type="dxa" w:w="4608"/>
            <w:vAlign w:val="top"/>
          </w:tcPr>
          <w:p>
            <w:pPr>
              <w:spacing w:after="0"/>
            </w:pPr>
            <w:r/>
            <w:r>
              <w:rPr>
                <w:rFonts w:ascii="Aptos" w:hAnsi="Aptos"/>
                <w:b w:val="0"/>
                <w:color w:val="303841"/>
                <w:sz w:val="16"/>
              </w:rPr>
              <w:t>Temporal prediction framework</w:t>
            </w:r>
          </w:p>
        </w:tc>
        <w:tc>
          <w:tcPr>
            <w:tcW w:type="dxa" w:w="4608"/>
            <w:vAlign w:val="top"/>
          </w:tcPr>
          <w:p>
            <w:pPr>
              <w:spacing w:after="0"/>
            </w:pPr>
            <w:r/>
            <w:r>
              <w:rPr>
                <w:rFonts w:ascii="Aptos" w:hAnsi="Aptos"/>
                <w:b w:val="0"/>
                <w:color w:val="303841"/>
                <w:sz w:val="16"/>
              </w:rPr>
              <w:t>Hyperparameter tuning</w:t>
            </w:r>
          </w:p>
        </w:tc>
      </w:tr>
      <w:tr>
        <w:tc>
          <w:tcPr>
            <w:tcW w:type="dxa" w:w="4608"/>
            <w:vAlign w:val="top"/>
          </w:tcPr>
          <w:p>
            <w:pPr>
              <w:spacing w:after="0"/>
            </w:pPr>
            <w:r/>
            <w:r>
              <w:rPr>
                <w:rFonts w:ascii="Aptos" w:hAnsi="Aptos"/>
                <w:b w:val="0"/>
                <w:color w:val="303841"/>
                <w:sz w:val="16"/>
              </w:rPr>
              <w:t>RFM + AOV feature engineering</w:t>
            </w:r>
          </w:p>
        </w:tc>
        <w:tc>
          <w:tcPr>
            <w:tcW w:type="dxa" w:w="4608"/>
            <w:vAlign w:val="top"/>
          </w:tcPr>
          <w:p>
            <w:pPr>
              <w:spacing w:after="0"/>
            </w:pPr>
            <w:r/>
            <w:r>
              <w:rPr>
                <w:rFonts w:ascii="Aptos" w:hAnsi="Aptos"/>
                <w:b w:val="0"/>
                <w:color w:val="303841"/>
                <w:sz w:val="16"/>
              </w:rPr>
              <w:t>Streamlit / API / MLOps</w:t>
            </w:r>
          </w:p>
        </w:tc>
      </w:tr>
      <w:tr>
        <w:tc>
          <w:tcPr>
            <w:tcW w:type="dxa" w:w="4608"/>
            <w:vAlign w:val="top"/>
          </w:tcPr>
          <w:p>
            <w:pPr>
              <w:spacing w:after="0"/>
            </w:pPr>
            <w:r/>
            <w:r>
              <w:rPr>
                <w:rFonts w:ascii="Aptos" w:hAnsi="Aptos"/>
                <w:b w:val="0"/>
                <w:color w:val="303841"/>
                <w:sz w:val="16"/>
              </w:rPr>
              <w:t>EDA and class-balance analysis</w:t>
            </w:r>
          </w:p>
        </w:tc>
        <w:tc>
          <w:tcPr>
            <w:tcW w:type="dxa" w:w="4608"/>
            <w:vAlign w:val="top"/>
          </w:tcPr>
          <w:p>
            <w:pPr>
              <w:spacing w:after="0"/>
            </w:pPr>
            <w:r/>
            <w:r>
              <w:rPr>
                <w:rFonts w:ascii="Aptos" w:hAnsi="Aptos"/>
                <w:b w:val="0"/>
                <w:color w:val="303841"/>
                <w:sz w:val="16"/>
              </w:rPr>
              <w:t>Large-scale feature expansion</w:t>
            </w:r>
          </w:p>
        </w:tc>
      </w:tr>
      <w:tr>
        <w:tc>
          <w:tcPr>
            <w:tcW w:type="dxa" w:w="4608"/>
            <w:vAlign w:val="top"/>
          </w:tcPr>
          <w:p>
            <w:pPr>
              <w:spacing w:after="0"/>
            </w:pPr>
            <w:r/>
            <w:r>
              <w:rPr>
                <w:rFonts w:ascii="Aptos" w:hAnsi="Aptos"/>
                <w:b w:val="0"/>
                <w:color w:val="303841"/>
                <w:sz w:val="16"/>
              </w:rPr>
              <w:t>Logistic Regression baseline</w:t>
            </w:r>
          </w:p>
        </w:tc>
        <w:tc>
          <w:tcPr>
            <w:tcW w:type="dxa" w:w="4608"/>
            <w:vAlign w:val="top"/>
          </w:tcPr>
          <w:p>
            <w:pPr>
              <w:spacing w:after="0"/>
            </w:pPr>
            <w:r/>
            <w:r>
              <w:rPr>
                <w:rFonts w:ascii="Aptos" w:hAnsi="Aptos"/>
                <w:b w:val="0"/>
                <w:color w:val="303841"/>
                <w:sz w:val="16"/>
              </w:rPr>
              <w:t>Full customer intelligence dashboard</w:t>
            </w:r>
          </w:p>
        </w:tc>
      </w:tr>
      <w:tr>
        <w:tc>
          <w:tcPr>
            <w:tcW w:type="dxa" w:w="4608"/>
            <w:vAlign w:val="top"/>
          </w:tcPr>
          <w:p>
            <w:pPr>
              <w:spacing w:after="0"/>
            </w:pPr>
            <w:r/>
            <w:r>
              <w:rPr>
                <w:rFonts w:ascii="Aptos" w:hAnsi="Aptos"/>
                <w:b w:val="0"/>
                <w:color w:val="303841"/>
                <w:sz w:val="16"/>
              </w:rPr>
              <w:t>Precision, recall, F1, AP, ROC-AUC</w:t>
            </w:r>
          </w:p>
        </w:tc>
        <w:tc>
          <w:tcPr>
            <w:tcW w:type="dxa" w:w="4608"/>
            <w:vAlign w:val="top"/>
          </w:tcPr>
          <w:p>
            <w:pPr>
              <w:spacing w:after="0"/>
            </w:pPr>
            <w:r/>
            <w:r>
              <w:rPr>
                <w:rFonts w:ascii="Aptos" w:hAnsi="Aptos"/>
                <w:b w:val="0"/>
                <w:color w:val="303841"/>
                <w:sz w:val="16"/>
              </w:rPr>
              <w:t>Post-submission propensity expansion</w:t>
            </w:r>
          </w:p>
        </w:tc>
      </w:tr>
      <w:tr>
        <w:tc>
          <w:tcPr>
            <w:tcW w:type="dxa" w:w="4608"/>
            <w:vAlign w:val="top"/>
          </w:tcPr>
          <w:p>
            <w:pPr>
              <w:spacing w:after="0"/>
            </w:pPr>
            <w:r/>
            <w:r>
              <w:rPr>
                <w:rFonts w:ascii="Aptos" w:hAnsi="Aptos"/>
                <w:b w:val="0"/>
                <w:color w:val="303841"/>
                <w:sz w:val="16"/>
              </w:rPr>
              <w:t>Threshold analysis</w:t>
            </w:r>
          </w:p>
        </w:tc>
        <w:tc>
          <w:tcPr>
            <w:tcW w:type="dxa" w:w="4608"/>
            <w:vAlign w:val="top"/>
          </w:tcPr>
          <w:p>
            <w:pPr>
              <w:spacing w:after="0"/>
            </w:pPr>
            <w:r/>
            <w:r>
              <w:rPr>
                <w:rFonts w:ascii="Aptos" w:hAnsi="Aptos"/>
                <w:b w:val="0"/>
                <w:color w:val="303841"/>
                <w:sz w:val="16"/>
              </w:rPr>
              <w:t>Causal or uplift analysis</w:t>
            </w:r>
          </w:p>
        </w:tc>
      </w:tr>
    </w:tbl>
    <w:p>
      <w:pPr>
        <w:spacing w:after="0"/>
      </w:pPr>
    </w:p>
    <w:p>
      <w:r>
        <w:t>This distinction is deliberate: the project prioritizes a technically defensible baseline and clear reasoning over a large collection of models.</w:t>
      </w:r>
    </w:p>
    <w:p>
      <w:pPr>
        <w:pStyle w:val="Heading1"/>
      </w:pPr>
      <w:r>
        <w:t>3. Data Foundation</w:t>
      </w:r>
    </w:p>
    <w:p>
      <w:r>
        <w:t>The project uses the Brazilian E-Commerce Public Dataset by Olist. The current repository does not repeat the full upstream data-quality process; instead, it consumes the cleaned and validated datasets produced by the author's previous Olist Data Quality &amp; ETL project.</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top"/>
            <w:shd w:fill="334155"/>
          </w:tcPr>
          <w:p>
            <w:pPr>
              <w:spacing w:after="0"/>
            </w:pPr>
            <w:r/>
            <w:r>
              <w:rPr>
                <w:rFonts w:ascii="Aptos" w:hAnsi="Aptos"/>
                <w:b/>
                <w:color w:val="FFFFFF"/>
                <w:sz w:val="17"/>
              </w:rPr>
              <w:t>Dataset</w:t>
            </w:r>
          </w:p>
        </w:tc>
        <w:tc>
          <w:tcPr>
            <w:tcW w:type="dxa" w:w="1800"/>
            <w:vAlign w:val="top"/>
            <w:shd w:fill="334155"/>
          </w:tcPr>
          <w:p>
            <w:pPr>
              <w:spacing w:after="0"/>
            </w:pPr>
            <w:r/>
            <w:r>
              <w:rPr>
                <w:rFonts w:ascii="Aptos" w:hAnsi="Aptos"/>
                <w:b/>
                <w:color w:val="FFFFFF"/>
                <w:sz w:val="17"/>
              </w:rPr>
              <w:t>Rows inspected</w:t>
            </w:r>
          </w:p>
        </w:tc>
        <w:tc>
          <w:tcPr>
            <w:tcW w:type="dxa" w:w="5400"/>
            <w:vAlign w:val="top"/>
            <w:shd w:fill="334155"/>
          </w:tcPr>
          <w:p>
            <w:pPr>
              <w:spacing w:after="0"/>
            </w:pPr>
            <w:r/>
            <w:r>
              <w:rPr>
                <w:rFonts w:ascii="Aptos" w:hAnsi="Aptos"/>
                <w:b/>
                <w:color w:val="FFFFFF"/>
                <w:sz w:val="17"/>
              </w:rPr>
              <w:t>Role</w:t>
            </w:r>
          </w:p>
        </w:tc>
      </w:tr>
      <w:tr>
        <w:tc>
          <w:tcPr>
            <w:tcW w:type="dxa" w:w="2160"/>
            <w:vAlign w:val="top"/>
          </w:tcPr>
          <w:p>
            <w:pPr>
              <w:spacing w:after="0"/>
            </w:pPr>
            <w:r/>
            <w:r>
              <w:rPr>
                <w:rFonts w:ascii="Aptos" w:hAnsi="Aptos"/>
                <w:b w:val="0"/>
                <w:color w:val="303841"/>
                <w:sz w:val="16"/>
              </w:rPr>
              <w:t>customers</w:t>
            </w:r>
          </w:p>
        </w:tc>
        <w:tc>
          <w:tcPr>
            <w:tcW w:type="dxa" w:w="1800"/>
            <w:vAlign w:val="top"/>
          </w:tcPr>
          <w:p>
            <w:pPr>
              <w:spacing w:after="0"/>
            </w:pPr>
            <w:r/>
            <w:r>
              <w:rPr>
                <w:rFonts w:ascii="Aptos" w:hAnsi="Aptos"/>
                <w:b w:val="0"/>
                <w:color w:val="303841"/>
                <w:sz w:val="16"/>
              </w:rPr>
              <w:t>99,441</w:t>
            </w:r>
          </w:p>
        </w:tc>
        <w:tc>
          <w:tcPr>
            <w:tcW w:type="dxa" w:w="5400"/>
            <w:vAlign w:val="top"/>
          </w:tcPr>
          <w:p>
            <w:pPr>
              <w:spacing w:after="0"/>
            </w:pPr>
            <w:r/>
            <w:r>
              <w:rPr>
                <w:rFonts w:ascii="Aptos" w:hAnsi="Aptos"/>
                <w:b w:val="0"/>
                <w:color w:val="303841"/>
                <w:sz w:val="16"/>
              </w:rPr>
              <w:t>Customer identity and location information</w:t>
            </w:r>
          </w:p>
        </w:tc>
      </w:tr>
      <w:tr>
        <w:tc>
          <w:tcPr>
            <w:tcW w:type="dxa" w:w="2160"/>
            <w:vAlign w:val="top"/>
          </w:tcPr>
          <w:p>
            <w:pPr>
              <w:spacing w:after="0"/>
            </w:pPr>
            <w:r/>
            <w:r>
              <w:rPr>
                <w:rFonts w:ascii="Aptos" w:hAnsi="Aptos"/>
                <w:b w:val="0"/>
                <w:color w:val="303841"/>
                <w:sz w:val="16"/>
              </w:rPr>
              <w:t>orders</w:t>
            </w:r>
          </w:p>
        </w:tc>
        <w:tc>
          <w:tcPr>
            <w:tcW w:type="dxa" w:w="1800"/>
            <w:vAlign w:val="top"/>
          </w:tcPr>
          <w:p>
            <w:pPr>
              <w:spacing w:after="0"/>
            </w:pPr>
            <w:r/>
            <w:r>
              <w:rPr>
                <w:rFonts w:ascii="Aptos" w:hAnsi="Aptos"/>
                <w:b w:val="0"/>
                <w:color w:val="303841"/>
                <w:sz w:val="16"/>
              </w:rPr>
              <w:t>99,441</w:t>
            </w:r>
          </w:p>
        </w:tc>
        <w:tc>
          <w:tcPr>
            <w:tcW w:type="dxa" w:w="5400"/>
            <w:vAlign w:val="top"/>
          </w:tcPr>
          <w:p>
            <w:pPr>
              <w:spacing w:after="0"/>
            </w:pPr>
            <w:r/>
            <w:r>
              <w:rPr>
                <w:rFonts w:ascii="Aptos" w:hAnsi="Aptos"/>
                <w:b w:val="0"/>
                <w:color w:val="303841"/>
                <w:sz w:val="16"/>
              </w:rPr>
              <w:t>Order status and purchase timeline</w:t>
            </w:r>
          </w:p>
        </w:tc>
      </w:tr>
      <w:tr>
        <w:tc>
          <w:tcPr>
            <w:tcW w:type="dxa" w:w="2160"/>
            <w:vAlign w:val="top"/>
          </w:tcPr>
          <w:p>
            <w:pPr>
              <w:spacing w:after="0"/>
            </w:pPr>
            <w:r/>
            <w:r>
              <w:rPr>
                <w:rFonts w:ascii="Aptos" w:hAnsi="Aptos"/>
                <w:b w:val="0"/>
                <w:color w:val="303841"/>
                <w:sz w:val="16"/>
              </w:rPr>
              <w:t>order_items</w:t>
            </w:r>
          </w:p>
        </w:tc>
        <w:tc>
          <w:tcPr>
            <w:tcW w:type="dxa" w:w="1800"/>
            <w:vAlign w:val="top"/>
          </w:tcPr>
          <w:p>
            <w:pPr>
              <w:spacing w:after="0"/>
            </w:pPr>
            <w:r/>
            <w:r>
              <w:rPr>
                <w:rFonts w:ascii="Aptos" w:hAnsi="Aptos"/>
                <w:b w:val="0"/>
                <w:color w:val="303841"/>
                <w:sz w:val="16"/>
              </w:rPr>
              <w:t>112,650</w:t>
            </w:r>
          </w:p>
        </w:tc>
        <w:tc>
          <w:tcPr>
            <w:tcW w:type="dxa" w:w="5400"/>
            <w:vAlign w:val="top"/>
          </w:tcPr>
          <w:p>
            <w:pPr>
              <w:spacing w:after="0"/>
            </w:pPr>
            <w:r/>
            <w:r>
              <w:rPr>
                <w:rFonts w:ascii="Aptos" w:hAnsi="Aptos"/>
                <w:b w:val="0"/>
                <w:color w:val="303841"/>
                <w:sz w:val="16"/>
              </w:rPr>
              <w:t>Item-level price and freight values used for order value</w:t>
            </w:r>
          </w:p>
        </w:tc>
      </w:tr>
    </w:tbl>
    <w:p>
      <w:pPr>
        <w:spacing w:after="0"/>
      </w:pPr>
    </w:p>
    <w:p>
      <w:r>
        <w:t>The source data spans purchase timestamps from 2016-09-04 to 2018-10-17. The model does not use the incomplete October 2018 period as part of the future observation window.</w:t>
      </w:r>
    </w:p>
    <w:p>
      <w:r>
        <w:t>Order-status inspection showed 96,478 delivered orders and 2,963 orders in other states. The project therefore explicitly defines a qualifying purchase as an order with order_status == "delivered".</w:t>
      </w:r>
    </w:p>
    <w:p>
      <w:r>
        <w:t>This definition is applied consistently to both historical feature construction and the future repeat-purchase target.</w:t>
      </w:r>
    </w:p>
    <w:p>
      <w:pPr>
        <w:pStyle w:val="Heading2"/>
      </w:pPr>
      <w:r>
        <w:t>Relational structure</w:t>
      </w:r>
    </w:p>
    <w:p>
      <w:pPr>
        <w:spacing w:after="120"/>
        <w:ind w:left="288"/>
      </w:pPr>
      <w:r>
        <w:rPr>
          <w:rFonts w:ascii="Consolas" w:hAnsi="Consolas"/>
          <w:color w:val="374151"/>
          <w:sz w:val="17"/>
        </w:rPr>
        <w:t>customers  →  orders  →  order_items  →  products / sellers</w:t>
      </w:r>
    </w:p>
    <w:p>
      <w:r>
        <w:t>The relevant analytical path is customers → orders → order_items. Product and seller relationships remain part of the source data model, but the submitted prediction workflow does not join unnecessary tables merely for additional complexity.</w:t>
      </w:r>
    </w:p>
    <w:p>
      <w:r>
        <w:br w:type="page"/>
      </w:r>
    </w:p>
    <w:p>
      <w:pPr>
        <w:pStyle w:val="Heading1"/>
      </w:pPr>
      <w:r>
        <w:t>4. Customer Identity and Analytical Grain</w:t>
      </w:r>
    </w:p>
    <w:p>
      <w:r>
        <w:t>Olist contains both customer_id and customer_unique_id. The preparation analysis verified that every customer_id maps to exactly one customer_unique_id, while a customer_unique_id can be associated with multiple customer_id records.</w:t>
      </w:r>
    </w:p>
    <w:tbl>
      <w:tblPr>
        <w:tblStyle w:val="TableGrid"/>
        <w:tblW w:type="auto" w:w="0"/>
        <w:jc w:val="center"/>
        <w:tblLook w:firstColumn="1" w:firstRow="1" w:lastColumn="0" w:lastRow="0" w:noHBand="0" w:noVBand="1" w:val="04A0"/>
      </w:tblPr>
      <w:tblGrid>
        <w:gridCol w:w="5040"/>
        <w:gridCol w:w="5040"/>
      </w:tblGrid>
      <w:tr>
        <w:tc>
          <w:tcPr>
            <w:tcW w:type="dxa" w:w="5328"/>
            <w:vAlign w:val="top"/>
            <w:shd w:fill="334155"/>
          </w:tcPr>
          <w:p>
            <w:pPr>
              <w:spacing w:after="0"/>
            </w:pPr>
            <w:r/>
            <w:r>
              <w:rPr>
                <w:rFonts w:ascii="Aptos" w:hAnsi="Aptos"/>
                <w:b/>
                <w:color w:val="FFFFFF"/>
                <w:sz w:val="17"/>
              </w:rPr>
              <w:t>Identity observation</w:t>
            </w:r>
          </w:p>
        </w:tc>
        <w:tc>
          <w:tcPr>
            <w:tcW w:type="dxa" w:w="4032"/>
            <w:vAlign w:val="top"/>
            <w:shd w:fill="334155"/>
          </w:tcPr>
          <w:p>
            <w:pPr>
              <w:spacing w:after="0"/>
            </w:pPr>
            <w:r/>
            <w:r>
              <w:rPr>
                <w:rFonts w:ascii="Aptos" w:hAnsi="Aptos"/>
                <w:b/>
                <w:color w:val="FFFFFF"/>
                <w:sz w:val="17"/>
              </w:rPr>
              <w:t>Verified result</w:t>
            </w:r>
          </w:p>
        </w:tc>
      </w:tr>
      <w:tr>
        <w:tc>
          <w:tcPr>
            <w:tcW w:type="dxa" w:w="5328"/>
            <w:vAlign w:val="top"/>
          </w:tcPr>
          <w:p>
            <w:pPr>
              <w:spacing w:after="0"/>
            </w:pPr>
            <w:r/>
            <w:r>
              <w:rPr>
                <w:rFonts w:ascii="Aptos" w:hAnsi="Aptos"/>
                <w:b w:val="0"/>
                <w:color w:val="303841"/>
                <w:sz w:val="16"/>
              </w:rPr>
              <w:t>Unique customer_id values</w:t>
            </w:r>
          </w:p>
        </w:tc>
        <w:tc>
          <w:tcPr>
            <w:tcW w:type="dxa" w:w="4032"/>
            <w:vAlign w:val="top"/>
          </w:tcPr>
          <w:p>
            <w:pPr>
              <w:spacing w:after="0"/>
            </w:pPr>
            <w:r/>
            <w:r>
              <w:rPr>
                <w:rFonts w:ascii="Aptos" w:hAnsi="Aptos"/>
                <w:b w:val="0"/>
                <w:color w:val="303841"/>
                <w:sz w:val="16"/>
              </w:rPr>
              <w:t>99,441</w:t>
            </w:r>
          </w:p>
        </w:tc>
      </w:tr>
      <w:tr>
        <w:tc>
          <w:tcPr>
            <w:tcW w:type="dxa" w:w="5328"/>
            <w:vAlign w:val="top"/>
          </w:tcPr>
          <w:p>
            <w:pPr>
              <w:spacing w:after="0"/>
            </w:pPr>
            <w:r/>
            <w:r>
              <w:rPr>
                <w:rFonts w:ascii="Aptos" w:hAnsi="Aptos"/>
                <w:b w:val="0"/>
                <w:color w:val="303841"/>
                <w:sz w:val="16"/>
              </w:rPr>
              <w:t>Unique customer_unique_id values</w:t>
            </w:r>
          </w:p>
        </w:tc>
        <w:tc>
          <w:tcPr>
            <w:tcW w:type="dxa" w:w="4032"/>
            <w:vAlign w:val="top"/>
          </w:tcPr>
          <w:p>
            <w:pPr>
              <w:spacing w:after="0"/>
            </w:pPr>
            <w:r/>
            <w:r>
              <w:rPr>
                <w:rFonts w:ascii="Aptos" w:hAnsi="Aptos"/>
                <w:b w:val="0"/>
                <w:color w:val="303841"/>
                <w:sz w:val="16"/>
              </w:rPr>
              <w:t>96,096</w:t>
            </w:r>
          </w:p>
        </w:tc>
      </w:tr>
      <w:tr>
        <w:tc>
          <w:tcPr>
            <w:tcW w:type="dxa" w:w="5328"/>
            <w:vAlign w:val="top"/>
          </w:tcPr>
          <w:p>
            <w:pPr>
              <w:spacing w:after="0"/>
            </w:pPr>
            <w:r/>
            <w:r>
              <w:rPr>
                <w:rFonts w:ascii="Aptos" w:hAnsi="Aptos"/>
                <w:b w:val="0"/>
                <w:color w:val="303841"/>
                <w:sz w:val="16"/>
              </w:rPr>
              <w:t>customer_unique_id values linked to multiple customer_id records</w:t>
            </w:r>
          </w:p>
        </w:tc>
        <w:tc>
          <w:tcPr>
            <w:tcW w:type="dxa" w:w="4032"/>
            <w:vAlign w:val="top"/>
          </w:tcPr>
          <w:p>
            <w:pPr>
              <w:spacing w:after="0"/>
            </w:pPr>
            <w:r/>
            <w:r>
              <w:rPr>
                <w:rFonts w:ascii="Aptos" w:hAnsi="Aptos"/>
                <w:b w:val="0"/>
                <w:color w:val="303841"/>
                <w:sz w:val="16"/>
              </w:rPr>
              <w:t>2,997</w:t>
            </w:r>
          </w:p>
        </w:tc>
      </w:tr>
      <w:tr>
        <w:tc>
          <w:tcPr>
            <w:tcW w:type="dxa" w:w="5328"/>
            <w:vAlign w:val="top"/>
          </w:tcPr>
          <w:p>
            <w:pPr>
              <w:spacing w:after="0"/>
            </w:pPr>
            <w:r/>
            <w:r>
              <w:rPr>
                <w:rFonts w:ascii="Aptos" w:hAnsi="Aptos"/>
                <w:b w:val="0"/>
                <w:color w:val="303841"/>
                <w:sz w:val="16"/>
              </w:rPr>
              <w:t>Analytical customer identifier</w:t>
            </w:r>
          </w:p>
        </w:tc>
        <w:tc>
          <w:tcPr>
            <w:tcW w:type="dxa" w:w="4032"/>
            <w:vAlign w:val="top"/>
          </w:tcPr>
          <w:p>
            <w:pPr>
              <w:spacing w:after="0"/>
            </w:pPr>
            <w:r/>
            <w:r>
              <w:rPr>
                <w:rFonts w:ascii="Aptos" w:hAnsi="Aptos"/>
                <w:b w:val="0"/>
                <w:color w:val="303841"/>
                <w:sz w:val="16"/>
              </w:rPr>
              <w:t>customer_unique_id</w:t>
            </w:r>
          </w:p>
        </w:tc>
      </w:tr>
    </w:tbl>
    <w:p>
      <w:pPr>
        <w:spacing w:after="0"/>
      </w:pPr>
    </w:p>
    <w:p>
      <w:r>
        <w:t>Using customer_unique_id prevents multiple Olist customer records belonging to the same underlying customer from being treated as separate analytical customers.</w:t>
      </w:r>
    </w:p>
    <w:tbl>
      <w:tblPr>
        <w:tblW w:type="auto" w:w="0"/>
        <w:jc w:val="center"/>
        <w:tblLook w:firstColumn="1" w:firstRow="1" w:lastColumn="0" w:lastRow="0" w:noHBand="0" w:noVBand="1" w:val="04A0"/>
      </w:tblPr>
      <w:tblGrid>
        <w:gridCol w:w="10080"/>
      </w:tblGrid>
      <w:tr>
        <w:tc>
          <w:tcPr>
            <w:tcW w:type="dxa" w:w="10080"/>
            <w:shd w:fill="F1F5F9"/>
          </w:tcPr>
          <w:p>
            <w:pPr>
              <w:spacing w:after="0"/>
              <w:ind w:left="40"/>
            </w:pPr>
            <w:r/>
            <w:r>
              <w:rPr>
                <w:b/>
                <w:color w:val="17202A"/>
                <w:sz w:val="19"/>
              </w:rPr>
              <w:t>Final modeling grain: one row = one customer.</w:t>
            </w:r>
          </w:p>
        </w:tc>
      </w:tr>
    </w:tbl>
    <w:p>
      <w:pPr>
        <w:spacing w:after="0"/>
      </w:pPr>
    </w:p>
    <w:p>
      <w:r>
        <w:t>This is a critical modeling decision because the source tables have different grains.</w:t>
      </w:r>
    </w:p>
    <w:p>
      <w:pPr>
        <w:pStyle w:val="Heading2"/>
      </w:pPr>
      <w:r>
        <w:t>Grain transition</w:t>
      </w:r>
    </w:p>
    <w:p>
      <w:pPr>
        <w:spacing w:after="120"/>
        <w:ind w:left="288"/>
      </w:pPr>
      <w:r>
        <w:rPr>
          <w:rFonts w:ascii="Consolas" w:hAnsi="Consolas"/>
          <w:color w:val="374151"/>
          <w:sz w:val="17"/>
        </w:rPr>
        <w:t>Order Items: 1 row = 1 item within an order</w:t>
        <w:br/>
        <w:t xml:space="preserve">        ↓</w:t>
        <w:br/>
        <w:t>Orders: 1 row = 1 order</w:t>
        <w:br/>
        <w:t xml:space="preserve">        ↓</w:t>
        <w:br/>
        <w:t>Customer: 1 row = 1 customer</w:t>
      </w:r>
    </w:p>
    <w:p>
      <w:r>
        <w:t>The order_items table is at a lower grain than orders. Because one order can contain multiple items, directly joining item rows to customers and then summing monetary values can multiply values incorrectly. The project therefore aggregates item-level price and freight into order-level order_value before calculating customer monetary features.</w:t>
      </w:r>
    </w:p>
    <w:p>
      <w:pPr>
        <w:pStyle w:val="Heading1"/>
      </w:pPr>
      <w:r>
        <w:t>5. Temporal Framework and Leakage Control</w:t>
      </w:r>
    </w:p>
    <w:p>
      <w:r>
        <w:t>The prediction problem is constructed using a strict historical-to-future framework. Customer features are calculated only from information available by the prediction cutoff. Future behavior is used only to determine the observed target.</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top"/>
            <w:shd w:fill="334155"/>
          </w:tcPr>
          <w:p>
            <w:pPr>
              <w:spacing w:after="0"/>
            </w:pPr>
            <w:r/>
            <w:r>
              <w:rPr>
                <w:rFonts w:ascii="Aptos" w:hAnsi="Aptos"/>
                <w:b/>
                <w:color w:val="FFFFFF"/>
                <w:sz w:val="17"/>
              </w:rPr>
              <w:t>Period</w:t>
            </w:r>
          </w:p>
        </w:tc>
        <w:tc>
          <w:tcPr>
            <w:tcW w:type="dxa" w:w="4032"/>
            <w:vAlign w:val="top"/>
            <w:shd w:fill="334155"/>
          </w:tcPr>
          <w:p>
            <w:pPr>
              <w:spacing w:after="0"/>
            </w:pPr>
            <w:r/>
            <w:r>
              <w:rPr>
                <w:rFonts w:ascii="Aptos" w:hAnsi="Aptos"/>
                <w:b/>
                <w:color w:val="FFFFFF"/>
                <w:sz w:val="17"/>
              </w:rPr>
              <w:t>Definition</w:t>
            </w:r>
          </w:p>
        </w:tc>
        <w:tc>
          <w:tcPr>
            <w:tcW w:type="dxa" w:w="2592"/>
            <w:vAlign w:val="top"/>
            <w:shd w:fill="334155"/>
          </w:tcPr>
          <w:p>
            <w:pPr>
              <w:spacing w:after="0"/>
            </w:pPr>
            <w:r/>
            <w:r>
              <w:rPr>
                <w:rFonts w:ascii="Aptos" w:hAnsi="Aptos"/>
                <w:b/>
                <w:color w:val="FFFFFF"/>
                <w:sz w:val="17"/>
              </w:rPr>
              <w:t>Purpose</w:t>
            </w:r>
          </w:p>
        </w:tc>
      </w:tr>
      <w:tr>
        <w:tc>
          <w:tcPr>
            <w:tcW w:type="dxa" w:w="2880"/>
            <w:vAlign w:val="top"/>
          </w:tcPr>
          <w:p>
            <w:pPr>
              <w:spacing w:after="0"/>
            </w:pPr>
            <w:r/>
            <w:r>
              <w:rPr>
                <w:rFonts w:ascii="Aptos" w:hAnsi="Aptos"/>
                <w:b w:val="0"/>
                <w:color w:val="303841"/>
                <w:sz w:val="16"/>
              </w:rPr>
              <w:t>Historical feature period</w:t>
            </w:r>
          </w:p>
        </w:tc>
        <w:tc>
          <w:tcPr>
            <w:tcW w:type="dxa" w:w="4032"/>
            <w:vAlign w:val="top"/>
          </w:tcPr>
          <w:p>
            <w:pPr>
              <w:spacing w:after="0"/>
            </w:pPr>
            <w:r/>
            <w:r>
              <w:rPr>
                <w:rFonts w:ascii="Aptos" w:hAnsi="Aptos"/>
                <w:b w:val="0"/>
                <w:color w:val="303841"/>
                <w:sz w:val="16"/>
              </w:rPr>
              <w:t>Delivered orders up to 2018-03-31</w:t>
            </w:r>
          </w:p>
        </w:tc>
        <w:tc>
          <w:tcPr>
            <w:tcW w:type="dxa" w:w="2592"/>
            <w:vAlign w:val="top"/>
          </w:tcPr>
          <w:p>
            <w:pPr>
              <w:spacing w:after="0"/>
            </w:pPr>
            <w:r/>
            <w:r>
              <w:rPr>
                <w:rFonts w:ascii="Aptos" w:hAnsi="Aptos"/>
                <w:b w:val="0"/>
                <w:color w:val="303841"/>
                <w:sz w:val="16"/>
              </w:rPr>
              <w:t>Build customer features</w:t>
            </w:r>
          </w:p>
        </w:tc>
      </w:tr>
      <w:tr>
        <w:tc>
          <w:tcPr>
            <w:tcW w:type="dxa" w:w="2880"/>
            <w:vAlign w:val="top"/>
          </w:tcPr>
          <w:p>
            <w:pPr>
              <w:spacing w:after="0"/>
            </w:pPr>
            <w:r/>
            <w:r>
              <w:rPr>
                <w:rFonts w:ascii="Aptos" w:hAnsi="Aptos"/>
                <w:b w:val="0"/>
                <w:color w:val="303841"/>
                <w:sz w:val="16"/>
              </w:rPr>
              <w:t>Prediction cutoff</w:t>
            </w:r>
          </w:p>
        </w:tc>
        <w:tc>
          <w:tcPr>
            <w:tcW w:type="dxa" w:w="4032"/>
            <w:vAlign w:val="top"/>
          </w:tcPr>
          <w:p>
            <w:pPr>
              <w:spacing w:after="0"/>
            </w:pPr>
            <w:r/>
            <w:r>
              <w:rPr>
                <w:rFonts w:ascii="Aptos" w:hAnsi="Aptos"/>
                <w:b w:val="0"/>
                <w:color w:val="303841"/>
                <w:sz w:val="16"/>
              </w:rPr>
              <w:t>2018-03-31</w:t>
            </w:r>
          </w:p>
        </w:tc>
        <w:tc>
          <w:tcPr>
            <w:tcW w:type="dxa" w:w="2592"/>
            <w:vAlign w:val="top"/>
          </w:tcPr>
          <w:p>
            <w:pPr>
              <w:spacing w:after="0"/>
            </w:pPr>
            <w:r/>
            <w:r>
              <w:rPr>
                <w:rFonts w:ascii="Aptos" w:hAnsi="Aptos"/>
                <w:b w:val="0"/>
                <w:color w:val="303841"/>
                <w:sz w:val="16"/>
              </w:rPr>
              <w:t>Separate past from future</w:t>
            </w:r>
          </w:p>
        </w:tc>
      </w:tr>
      <w:tr>
        <w:tc>
          <w:tcPr>
            <w:tcW w:type="dxa" w:w="2880"/>
            <w:vAlign w:val="top"/>
          </w:tcPr>
          <w:p>
            <w:pPr>
              <w:spacing w:after="0"/>
            </w:pPr>
            <w:r/>
            <w:r>
              <w:rPr>
                <w:rFonts w:ascii="Aptos" w:hAnsi="Aptos"/>
                <w:b w:val="0"/>
                <w:color w:val="303841"/>
                <w:sz w:val="16"/>
              </w:rPr>
              <w:t>Future observation period</w:t>
            </w:r>
          </w:p>
        </w:tc>
        <w:tc>
          <w:tcPr>
            <w:tcW w:type="dxa" w:w="4032"/>
            <w:vAlign w:val="top"/>
          </w:tcPr>
          <w:p>
            <w:pPr>
              <w:spacing w:after="0"/>
            </w:pPr>
            <w:r/>
            <w:r>
              <w:rPr>
                <w:rFonts w:ascii="Aptos" w:hAnsi="Aptos"/>
                <w:b w:val="0"/>
                <w:color w:val="303841"/>
                <w:sz w:val="16"/>
              </w:rPr>
              <w:t>2018-04-01 to 2018-09-30</w:t>
            </w:r>
          </w:p>
        </w:tc>
        <w:tc>
          <w:tcPr>
            <w:tcW w:type="dxa" w:w="2592"/>
            <w:vAlign w:val="top"/>
          </w:tcPr>
          <w:p>
            <w:pPr>
              <w:spacing w:after="0"/>
            </w:pPr>
            <w:r/>
            <w:r>
              <w:rPr>
                <w:rFonts w:ascii="Aptos" w:hAnsi="Aptos"/>
                <w:b w:val="0"/>
                <w:color w:val="303841"/>
                <w:sz w:val="16"/>
              </w:rPr>
              <w:t>Define repeat purchase</w:t>
            </w:r>
          </w:p>
        </w:tc>
      </w:tr>
    </w:tbl>
    <w:p>
      <w:pPr>
        <w:spacing w:after="0"/>
      </w:pPr>
    </w:p>
    <w:p/>
    <w:p>
      <w:pPr>
        <w:spacing w:after="120"/>
        <w:ind w:left="288"/>
      </w:pPr>
      <w:r>
        <w:rPr>
          <w:rFonts w:ascii="Consolas" w:hAnsi="Consolas"/>
          <w:color w:val="374151"/>
          <w:sz w:val="17"/>
        </w:rPr>
        <w:t>BEFORE CUTOFF</w:t>
        <w:br/>
        <w:t>Historical delivered orders</w:t>
        <w:br/>
        <w:t xml:space="preserve">        ↓</w:t>
        <w:br/>
        <w:t>Customer features</w:t>
        <w:br/>
        <w:t xml:space="preserve">        ↓</w:t>
        <w:br/>
        <w:t>MODEL</w:t>
        <w:br/>
        <w:t xml:space="preserve">        ↓</w:t>
        <w:br/>
        <w:t>AFTER CUTOFF</w:t>
        <w:br/>
        <w:t>Future delivered orders</w:t>
        <w:br/>
        <w:t xml:space="preserve">        ↓</w:t>
        <w:br/>
        <w:t>Repeat-purchase target</w:t>
      </w:r>
    </w:p>
    <w:p>
      <w:r>
        <w:t>The resulting preparation split contains 64,158 historical delivered orders and 32,156 future delivered orders. There are 62,145 customers with historical qualifying purchases.</w:t>
      </w:r>
    </w:p>
    <w:p>
      <w:r>
        <w:t>The latest historical purchase is 2018-03-30 23:32:46 and the earliest future purchase is 2018-04-01 00:11:32, providing a clean chronological boundary.</w:t>
      </w:r>
    </w:p>
    <w:p>
      <w:r>
        <w:t>The defined future window ends on 2018-09-30, although the latest future purchase actually present in the available data is 2018-08-29 15:00:37. October 2018 is excluded because the source period is incomplete.</w:t>
      </w:r>
    </w:p>
    <w:tbl>
      <w:tblPr>
        <w:tblW w:type="auto" w:w="0"/>
        <w:jc w:val="center"/>
        <w:tblLook w:firstColumn="1" w:firstRow="1" w:lastColumn="0" w:lastRow="0" w:noHBand="0" w:noVBand="1" w:val="04A0"/>
      </w:tblPr>
      <w:tblGrid>
        <w:gridCol w:w="10080"/>
      </w:tblGrid>
      <w:tr>
        <w:tc>
          <w:tcPr>
            <w:tcW w:type="dxa" w:w="10080"/>
            <w:shd w:fill="F1F5F9"/>
          </w:tcPr>
          <w:p>
            <w:pPr>
              <w:spacing w:after="0"/>
              <w:ind w:left="40"/>
            </w:pPr>
            <w:r/>
            <w:r>
              <w:rPr>
                <w:b/>
                <w:color w:val="17202A"/>
                <w:sz w:val="19"/>
              </w:rPr>
              <w:t>Temporal separation is the main leakage-control mechanism: the model never receives future repeat-purchase behavior as an input feature.</w:t>
            </w:r>
          </w:p>
        </w:tc>
      </w:tr>
    </w:tbl>
    <w:p>
      <w:pPr>
        <w:spacing w:after="0"/>
      </w:pPr>
    </w:p>
    <w:p>
      <w:r>
        <w:br w:type="page"/>
      </w:r>
    </w:p>
    <w:p>
      <w:pPr>
        <w:pStyle w:val="Heading1"/>
      </w:pPr>
      <w:r>
        <w:t>6. Feature Engineering</w:t>
      </w:r>
    </w:p>
    <w:p>
      <w:r>
        <w:t>The initial feature set is intentionally small and interpretable. Every feature is derived from historical delivered orders only.</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top"/>
            <w:shd w:fill="334155"/>
          </w:tcPr>
          <w:p>
            <w:pPr>
              <w:spacing w:after="0"/>
            </w:pPr>
            <w:r/>
            <w:r>
              <w:rPr>
                <w:rFonts w:ascii="Aptos" w:hAnsi="Aptos"/>
                <w:b/>
                <w:color w:val="FFFFFF"/>
                <w:sz w:val="17"/>
              </w:rPr>
              <w:t>Feature</w:t>
            </w:r>
          </w:p>
        </w:tc>
        <w:tc>
          <w:tcPr>
            <w:tcW w:type="dxa" w:w="4464"/>
            <w:vAlign w:val="top"/>
            <w:shd w:fill="334155"/>
          </w:tcPr>
          <w:p>
            <w:pPr>
              <w:spacing w:after="0"/>
            </w:pPr>
            <w:r/>
            <w:r>
              <w:rPr>
                <w:rFonts w:ascii="Aptos" w:hAnsi="Aptos"/>
                <w:b/>
                <w:color w:val="FFFFFF"/>
                <w:sz w:val="17"/>
              </w:rPr>
              <w:t>Definition</w:t>
            </w:r>
          </w:p>
        </w:tc>
        <w:tc>
          <w:tcPr>
            <w:tcW w:type="dxa" w:w="3024"/>
            <w:vAlign w:val="top"/>
            <w:shd w:fill="334155"/>
          </w:tcPr>
          <w:p>
            <w:pPr>
              <w:spacing w:after="0"/>
            </w:pPr>
            <w:r/>
            <w:r>
              <w:rPr>
                <w:rFonts w:ascii="Aptos" w:hAnsi="Aptos"/>
                <w:b/>
                <w:color w:val="FFFFFF"/>
                <w:sz w:val="17"/>
              </w:rPr>
              <w:t>Analytical purpose</w:t>
            </w:r>
          </w:p>
        </w:tc>
      </w:tr>
      <w:tr>
        <w:tc>
          <w:tcPr>
            <w:tcW w:type="dxa" w:w="1872"/>
            <w:vAlign w:val="top"/>
          </w:tcPr>
          <w:p>
            <w:pPr>
              <w:spacing w:after="0"/>
            </w:pPr>
            <w:r/>
            <w:r>
              <w:rPr>
                <w:rFonts w:ascii="Aptos" w:hAnsi="Aptos"/>
                <w:b w:val="0"/>
                <w:color w:val="303841"/>
                <w:sz w:val="16"/>
              </w:rPr>
              <w:t>Recency</w:t>
            </w:r>
          </w:p>
        </w:tc>
        <w:tc>
          <w:tcPr>
            <w:tcW w:type="dxa" w:w="4464"/>
            <w:vAlign w:val="top"/>
          </w:tcPr>
          <w:p>
            <w:pPr>
              <w:spacing w:after="0"/>
            </w:pPr>
            <w:r/>
            <w:r>
              <w:rPr>
                <w:rFonts w:ascii="Aptos" w:hAnsi="Aptos"/>
                <w:b w:val="0"/>
                <w:color w:val="303841"/>
                <w:sz w:val="16"/>
              </w:rPr>
              <w:t>Cutoff date − latest historical purchase</w:t>
            </w:r>
          </w:p>
        </w:tc>
        <w:tc>
          <w:tcPr>
            <w:tcW w:type="dxa" w:w="3024"/>
            <w:vAlign w:val="top"/>
          </w:tcPr>
          <w:p>
            <w:pPr>
              <w:spacing w:after="0"/>
            </w:pPr>
            <w:r/>
            <w:r>
              <w:rPr>
                <w:rFonts w:ascii="Aptos" w:hAnsi="Aptos"/>
                <w:b w:val="0"/>
                <w:color w:val="303841"/>
                <w:sz w:val="16"/>
              </w:rPr>
              <w:t>How recently the customer purchased</w:t>
            </w:r>
          </w:p>
        </w:tc>
      </w:tr>
      <w:tr>
        <w:tc>
          <w:tcPr>
            <w:tcW w:type="dxa" w:w="1872"/>
            <w:vAlign w:val="top"/>
          </w:tcPr>
          <w:p>
            <w:pPr>
              <w:spacing w:after="0"/>
            </w:pPr>
            <w:r/>
            <w:r>
              <w:rPr>
                <w:rFonts w:ascii="Aptos" w:hAnsi="Aptos"/>
                <w:b w:val="0"/>
                <w:color w:val="303841"/>
                <w:sz w:val="16"/>
              </w:rPr>
              <w:t>Frequency</w:t>
            </w:r>
          </w:p>
        </w:tc>
        <w:tc>
          <w:tcPr>
            <w:tcW w:type="dxa" w:w="4464"/>
            <w:vAlign w:val="top"/>
          </w:tcPr>
          <w:p>
            <w:pPr>
              <w:spacing w:after="0"/>
            </w:pPr>
            <w:r/>
            <w:r>
              <w:rPr>
                <w:rFonts w:ascii="Aptos" w:hAnsi="Aptos"/>
                <w:b w:val="0"/>
                <w:color w:val="303841"/>
                <w:sz w:val="16"/>
              </w:rPr>
              <w:t>Count of unique historical delivered orders</w:t>
            </w:r>
          </w:p>
        </w:tc>
        <w:tc>
          <w:tcPr>
            <w:tcW w:type="dxa" w:w="3024"/>
            <w:vAlign w:val="top"/>
          </w:tcPr>
          <w:p>
            <w:pPr>
              <w:spacing w:after="0"/>
            </w:pPr>
            <w:r/>
            <w:r>
              <w:rPr>
                <w:rFonts w:ascii="Aptos" w:hAnsi="Aptos"/>
                <w:b w:val="0"/>
                <w:color w:val="303841"/>
                <w:sz w:val="16"/>
              </w:rPr>
              <w:t>How often the customer purchased</w:t>
            </w:r>
          </w:p>
        </w:tc>
      </w:tr>
      <w:tr>
        <w:tc>
          <w:tcPr>
            <w:tcW w:type="dxa" w:w="1872"/>
            <w:vAlign w:val="top"/>
          </w:tcPr>
          <w:p>
            <w:pPr>
              <w:spacing w:after="0"/>
            </w:pPr>
            <w:r/>
            <w:r>
              <w:rPr>
                <w:rFonts w:ascii="Aptos" w:hAnsi="Aptos"/>
                <w:b w:val="0"/>
                <w:color w:val="303841"/>
                <w:sz w:val="16"/>
              </w:rPr>
              <w:t>Monetary</w:t>
            </w:r>
          </w:p>
        </w:tc>
        <w:tc>
          <w:tcPr>
            <w:tcW w:type="dxa" w:w="4464"/>
            <w:vAlign w:val="top"/>
          </w:tcPr>
          <w:p>
            <w:pPr>
              <w:spacing w:after="0"/>
            </w:pPr>
            <w:r/>
            <w:r>
              <w:rPr>
                <w:rFonts w:ascii="Aptos" w:hAnsi="Aptos"/>
                <w:b w:val="0"/>
                <w:color w:val="303841"/>
                <w:sz w:val="16"/>
              </w:rPr>
              <w:t>Sum of historical order_value</w:t>
            </w:r>
          </w:p>
        </w:tc>
        <w:tc>
          <w:tcPr>
            <w:tcW w:type="dxa" w:w="3024"/>
            <w:vAlign w:val="top"/>
          </w:tcPr>
          <w:p>
            <w:pPr>
              <w:spacing w:after="0"/>
            </w:pPr>
            <w:r/>
            <w:r>
              <w:rPr>
                <w:rFonts w:ascii="Aptos" w:hAnsi="Aptos"/>
                <w:b w:val="0"/>
                <w:color w:val="303841"/>
                <w:sz w:val="16"/>
              </w:rPr>
              <w:t>Historical customer spending</w:t>
            </w:r>
          </w:p>
        </w:tc>
      </w:tr>
      <w:tr>
        <w:tc>
          <w:tcPr>
            <w:tcW w:type="dxa" w:w="1872"/>
            <w:vAlign w:val="top"/>
          </w:tcPr>
          <w:p>
            <w:pPr>
              <w:spacing w:after="0"/>
            </w:pPr>
            <w:r/>
            <w:r>
              <w:rPr>
                <w:rFonts w:ascii="Aptos" w:hAnsi="Aptos"/>
                <w:b w:val="0"/>
                <w:color w:val="303841"/>
                <w:sz w:val="16"/>
              </w:rPr>
              <w:t>Average Order Value</w:t>
            </w:r>
          </w:p>
        </w:tc>
        <w:tc>
          <w:tcPr>
            <w:tcW w:type="dxa" w:w="4464"/>
            <w:vAlign w:val="top"/>
          </w:tcPr>
          <w:p>
            <w:pPr>
              <w:spacing w:after="0"/>
            </w:pPr>
            <w:r/>
            <w:r>
              <w:rPr>
                <w:rFonts w:ascii="Aptos" w:hAnsi="Aptos"/>
                <w:b w:val="0"/>
                <w:color w:val="303841"/>
                <w:sz w:val="16"/>
              </w:rPr>
              <w:t>Monetary / Frequency</w:t>
            </w:r>
          </w:p>
        </w:tc>
        <w:tc>
          <w:tcPr>
            <w:tcW w:type="dxa" w:w="3024"/>
            <w:vAlign w:val="top"/>
          </w:tcPr>
          <w:p>
            <w:pPr>
              <w:spacing w:after="0"/>
            </w:pPr>
            <w:r/>
            <w:r>
              <w:rPr>
                <w:rFonts w:ascii="Aptos" w:hAnsi="Aptos"/>
                <w:b w:val="0"/>
                <w:color w:val="303841"/>
                <w:sz w:val="16"/>
              </w:rPr>
              <w:t>Typical historical order value</w:t>
            </w:r>
          </w:p>
        </w:tc>
      </w:tr>
    </w:tbl>
    <w:p>
      <w:pPr>
        <w:spacing w:after="0"/>
      </w:pPr>
    </w:p>
    <w:p>
      <w:r>
        <w:t>Order value is defined as price + freight_value at the item level and then summed by order_id. Customer monetary value is subsequently calculated from these order-level values.</w:t>
      </w:r>
    </w:p>
    <w:p>
      <w:r>
        <w:t>The final customer-level dataset contains 62,145 rows and no missing values in the four model features.</w:t>
      </w:r>
    </w:p>
    <w:p>
      <w:r>
        <w:t>Frequency is highly concentrated: 60,324 customers have one historical order, 1,680 have two, 114 have three, and the maximum observed frequency is nine. This limited variation is an important contextual limitation when interpreting the model.</w:t>
      </w:r>
    </w:p>
    <w:p>
      <w:pPr>
        <w:pStyle w:val="Heading2"/>
      </w:pPr>
      <w:r>
        <w:t>Feature distribution and skewness</w:t>
      </w:r>
    </w:p>
    <w:p>
      <w:pPr>
        <w:jc w:val="center"/>
      </w:pPr>
      <w:r>
        <w:drawing>
          <wp:inline xmlns:a="http://schemas.openxmlformats.org/drawingml/2006/main" xmlns:pic="http://schemas.openxmlformats.org/drawingml/2006/picture">
            <wp:extent cx="5623560" cy="2758894"/>
            <wp:docPr id="1" name="Picture 1"/>
            <wp:cNvGraphicFramePr>
              <a:graphicFrameLocks noChangeAspect="1"/>
            </wp:cNvGraphicFramePr>
            <a:graphic>
              <a:graphicData uri="http://schemas.openxmlformats.org/drawingml/2006/picture">
                <pic:pic>
                  <pic:nvPicPr>
                    <pic:cNvPr id="0" name="feature_skewness.png"/>
                    <pic:cNvPicPr/>
                  </pic:nvPicPr>
                  <pic:blipFill>
                    <a:blip r:embed="rId9"/>
                    <a:stretch>
                      <a:fillRect/>
                    </a:stretch>
                  </pic:blipFill>
                  <pic:spPr>
                    <a:xfrm>
                      <a:off x="0" y="0"/>
                      <a:ext cx="5623560" cy="2758894"/>
                    </a:xfrm>
                    <a:prstGeom prst="rect"/>
                  </pic:spPr>
                </pic:pic>
              </a:graphicData>
            </a:graphic>
          </wp:inline>
        </w:drawing>
      </w:r>
    </w:p>
    <w:p>
      <w:r>
        <w:t>Skewness is especially high for frequency, monetary value, and AOV. This motivated the documented future consideration of transformations such as log scaling, rather than silently adding transformations to the initial baseline.</w:t>
      </w:r>
    </w:p>
    <w:p>
      <w:pPr>
        <w:pStyle w:val="Heading1"/>
      </w:pPr>
      <w:r>
        <w:t>7. Exploratory Data Analysis</w:t>
      </w:r>
    </w:p>
    <w:p>
      <w:r>
        <w:t>EDA focused on understanding the customer population, feature distributions, class balance, and differences between repeat and non-repeat customers before modeling.</w:t>
      </w:r>
    </w:p>
    <w:p>
      <w:r>
        <w:t>The notebook examined feature distributions, descriptive statistics, skewness, boxplots, log-scale monetary distributions, and feature behavior by repeat-purchase outcome.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448"/>
            <w:vAlign w:val="top"/>
            <w:shd w:fill="334155"/>
          </w:tcPr>
          <w:p>
            <w:pPr>
              <w:spacing w:after="0"/>
            </w:pPr>
            <w:r/>
            <w:r>
              <w:rPr>
                <w:rFonts w:ascii="Aptos" w:hAnsi="Aptos"/>
                <w:b/>
                <w:color w:val="FFFFFF"/>
                <w:sz w:val="17"/>
              </w:rPr>
              <w:t>Feature</w:t>
            </w:r>
          </w:p>
        </w:tc>
        <w:tc>
          <w:tcPr>
            <w:tcW w:type="dxa" w:w="1728"/>
            <w:vAlign w:val="top"/>
            <w:shd w:fill="334155"/>
          </w:tcPr>
          <w:p>
            <w:pPr>
              <w:spacing w:after="0"/>
            </w:pPr>
            <w:r/>
            <w:r>
              <w:rPr>
                <w:rFonts w:ascii="Aptos" w:hAnsi="Aptos"/>
                <w:b/>
                <w:color w:val="FFFFFF"/>
                <w:sz w:val="17"/>
              </w:rPr>
              <w:t>Mean</w:t>
            </w:r>
          </w:p>
        </w:tc>
        <w:tc>
          <w:tcPr>
            <w:tcW w:type="dxa" w:w="1728"/>
            <w:vAlign w:val="top"/>
            <w:shd w:fill="334155"/>
          </w:tcPr>
          <w:p>
            <w:pPr>
              <w:spacing w:after="0"/>
            </w:pPr>
            <w:r/>
            <w:r>
              <w:rPr>
                <w:rFonts w:ascii="Aptos" w:hAnsi="Aptos"/>
                <w:b/>
                <w:color w:val="FFFFFF"/>
                <w:sz w:val="17"/>
              </w:rPr>
              <w:t>Median</w:t>
            </w:r>
          </w:p>
        </w:tc>
        <w:tc>
          <w:tcPr>
            <w:tcW w:type="dxa" w:w="2016"/>
            <w:vAlign w:val="top"/>
            <w:shd w:fill="334155"/>
          </w:tcPr>
          <w:p>
            <w:pPr>
              <w:spacing w:after="0"/>
            </w:pPr>
            <w:r/>
            <w:r>
              <w:rPr>
                <w:rFonts w:ascii="Aptos" w:hAnsi="Aptos"/>
                <w:b/>
                <w:color w:val="FFFFFF"/>
                <w:sz w:val="17"/>
              </w:rPr>
              <w:t>Maximum</w:t>
            </w:r>
          </w:p>
        </w:tc>
        <w:tc>
          <w:tcPr>
            <w:tcW w:type="dxa" w:w="1728"/>
            <w:vAlign w:val="top"/>
            <w:shd w:fill="334155"/>
          </w:tcPr>
          <w:p>
            <w:pPr>
              <w:spacing w:after="0"/>
            </w:pPr>
            <w:r/>
            <w:r>
              <w:rPr>
                <w:rFonts w:ascii="Aptos" w:hAnsi="Aptos"/>
                <w:b/>
                <w:color w:val="FFFFFF"/>
                <w:sz w:val="17"/>
              </w:rPr>
              <w:t>Skewness</w:t>
            </w:r>
          </w:p>
        </w:tc>
      </w:tr>
      <w:tr>
        <w:tc>
          <w:tcPr>
            <w:tcW w:type="dxa" w:w="2448"/>
            <w:vAlign w:val="top"/>
          </w:tcPr>
          <w:p>
            <w:pPr>
              <w:spacing w:after="0"/>
            </w:pPr>
            <w:r/>
            <w:r>
              <w:rPr>
                <w:rFonts w:ascii="Aptos" w:hAnsi="Aptos"/>
                <w:b w:val="0"/>
                <w:color w:val="303841"/>
                <w:sz w:val="16"/>
              </w:rPr>
              <w:t>Recency (days)</w:t>
            </w:r>
          </w:p>
        </w:tc>
        <w:tc>
          <w:tcPr>
            <w:tcW w:type="dxa" w:w="1728"/>
            <w:vAlign w:val="top"/>
          </w:tcPr>
          <w:p>
            <w:pPr>
              <w:spacing w:after="0"/>
            </w:pPr>
            <w:r/>
            <w:r>
              <w:rPr>
                <w:rFonts w:ascii="Aptos" w:hAnsi="Aptos"/>
                <w:b w:val="0"/>
                <w:color w:val="303841"/>
                <w:sz w:val="16"/>
              </w:rPr>
              <w:t>168.57</w:t>
            </w:r>
          </w:p>
        </w:tc>
        <w:tc>
          <w:tcPr>
            <w:tcW w:type="dxa" w:w="1728"/>
            <w:vAlign w:val="top"/>
          </w:tcPr>
          <w:p>
            <w:pPr>
              <w:spacing w:after="0"/>
            </w:pPr>
            <w:r/>
            <w:r>
              <w:rPr>
                <w:rFonts w:ascii="Aptos" w:hAnsi="Aptos"/>
                <w:b w:val="0"/>
                <w:color w:val="303841"/>
                <w:sz w:val="16"/>
              </w:rPr>
              <w:t>139.36</w:t>
            </w:r>
          </w:p>
        </w:tc>
        <w:tc>
          <w:tcPr>
            <w:tcW w:type="dxa" w:w="2016"/>
            <w:vAlign w:val="top"/>
          </w:tcPr>
          <w:p>
            <w:pPr>
              <w:spacing w:after="0"/>
            </w:pPr>
            <w:r/>
            <w:r>
              <w:rPr>
                <w:rFonts w:ascii="Aptos" w:hAnsi="Aptos"/>
                <w:b w:val="0"/>
                <w:color w:val="303841"/>
                <w:sz w:val="16"/>
              </w:rPr>
              <w:t>561.49</w:t>
            </w:r>
          </w:p>
        </w:tc>
        <w:tc>
          <w:tcPr>
            <w:tcW w:type="dxa" w:w="1728"/>
            <w:vAlign w:val="top"/>
          </w:tcPr>
          <w:p>
            <w:pPr>
              <w:spacing w:after="0"/>
            </w:pPr>
            <w:r/>
            <w:r>
              <w:rPr>
                <w:rFonts w:ascii="Aptos" w:hAnsi="Aptos"/>
                <w:b w:val="0"/>
                <w:color w:val="303841"/>
                <w:sz w:val="16"/>
              </w:rPr>
              <w:t>0.57</w:t>
            </w:r>
          </w:p>
        </w:tc>
      </w:tr>
      <w:tr>
        <w:tc>
          <w:tcPr>
            <w:tcW w:type="dxa" w:w="2448"/>
            <w:vAlign w:val="top"/>
          </w:tcPr>
          <w:p>
            <w:pPr>
              <w:spacing w:after="0"/>
            </w:pPr>
            <w:r/>
            <w:r>
              <w:rPr>
                <w:rFonts w:ascii="Aptos" w:hAnsi="Aptos"/>
                <w:b w:val="0"/>
                <w:color w:val="303841"/>
                <w:sz w:val="16"/>
              </w:rPr>
              <w:t>Frequency</w:t>
            </w:r>
          </w:p>
        </w:tc>
        <w:tc>
          <w:tcPr>
            <w:tcW w:type="dxa" w:w="1728"/>
            <w:vAlign w:val="top"/>
          </w:tcPr>
          <w:p>
            <w:pPr>
              <w:spacing w:after="0"/>
            </w:pPr>
            <w:r/>
            <w:r>
              <w:rPr>
                <w:rFonts w:ascii="Aptos" w:hAnsi="Aptos"/>
                <w:b w:val="0"/>
                <w:color w:val="303841"/>
                <w:sz w:val="16"/>
              </w:rPr>
              <w:t>1.03</w:t>
            </w:r>
          </w:p>
        </w:tc>
        <w:tc>
          <w:tcPr>
            <w:tcW w:type="dxa" w:w="1728"/>
            <w:vAlign w:val="top"/>
          </w:tcPr>
          <w:p>
            <w:pPr>
              <w:spacing w:after="0"/>
            </w:pPr>
            <w:r/>
            <w:r>
              <w:rPr>
                <w:rFonts w:ascii="Aptos" w:hAnsi="Aptos"/>
                <w:b w:val="0"/>
                <w:color w:val="303841"/>
                <w:sz w:val="16"/>
              </w:rPr>
              <w:t>1.00</w:t>
            </w:r>
          </w:p>
        </w:tc>
        <w:tc>
          <w:tcPr>
            <w:tcW w:type="dxa" w:w="2016"/>
            <w:vAlign w:val="top"/>
          </w:tcPr>
          <w:p>
            <w:pPr>
              <w:spacing w:after="0"/>
            </w:pPr>
            <w:r/>
            <w:r>
              <w:rPr>
                <w:rFonts w:ascii="Aptos" w:hAnsi="Aptos"/>
                <w:b w:val="0"/>
                <w:color w:val="303841"/>
                <w:sz w:val="16"/>
              </w:rPr>
              <w:t>9.00</w:t>
            </w:r>
          </w:p>
        </w:tc>
        <w:tc>
          <w:tcPr>
            <w:tcW w:type="dxa" w:w="1728"/>
            <w:vAlign w:val="top"/>
          </w:tcPr>
          <w:p>
            <w:pPr>
              <w:spacing w:after="0"/>
            </w:pPr>
            <w:r/>
            <w:r>
              <w:rPr>
                <w:rFonts w:ascii="Aptos" w:hAnsi="Aptos"/>
                <w:b w:val="0"/>
                <w:color w:val="303841"/>
                <w:sz w:val="16"/>
              </w:rPr>
              <w:t>8.99</w:t>
            </w:r>
          </w:p>
        </w:tc>
      </w:tr>
      <w:tr>
        <w:tc>
          <w:tcPr>
            <w:tcW w:type="dxa" w:w="2448"/>
            <w:vAlign w:val="top"/>
          </w:tcPr>
          <w:p>
            <w:pPr>
              <w:spacing w:after="0"/>
            </w:pPr>
            <w:r/>
            <w:r>
              <w:rPr>
                <w:rFonts w:ascii="Aptos" w:hAnsi="Aptos"/>
                <w:b w:val="0"/>
                <w:color w:val="303841"/>
                <w:sz w:val="16"/>
              </w:rPr>
              <w:t>Monetary</w:t>
            </w:r>
          </w:p>
        </w:tc>
        <w:tc>
          <w:tcPr>
            <w:tcW w:type="dxa" w:w="1728"/>
            <w:vAlign w:val="top"/>
          </w:tcPr>
          <w:p>
            <w:pPr>
              <w:spacing w:after="0"/>
            </w:pPr>
            <w:r/>
            <w:r>
              <w:rPr>
                <w:rFonts w:ascii="Aptos" w:hAnsi="Aptos"/>
                <w:b w:val="0"/>
                <w:color w:val="303841"/>
                <w:sz w:val="16"/>
              </w:rPr>
              <w:t>162.60</w:t>
            </w:r>
          </w:p>
        </w:tc>
        <w:tc>
          <w:tcPr>
            <w:tcW w:type="dxa" w:w="1728"/>
            <w:vAlign w:val="top"/>
          </w:tcPr>
          <w:p>
            <w:pPr>
              <w:spacing w:after="0"/>
            </w:pPr>
            <w:r/>
            <w:r>
              <w:rPr>
                <w:rFonts w:ascii="Aptos" w:hAnsi="Aptos"/>
                <w:b w:val="0"/>
                <w:color w:val="303841"/>
                <w:sz w:val="16"/>
              </w:rPr>
              <w:t>106.38</w:t>
            </w:r>
          </w:p>
        </w:tc>
        <w:tc>
          <w:tcPr>
            <w:tcW w:type="dxa" w:w="2016"/>
            <w:vAlign w:val="top"/>
          </w:tcPr>
          <w:p>
            <w:pPr>
              <w:spacing w:after="0"/>
            </w:pPr>
            <w:r/>
            <w:r>
              <w:rPr>
                <w:rFonts w:ascii="Aptos" w:hAnsi="Aptos"/>
                <w:b w:val="0"/>
                <w:color w:val="303841"/>
                <w:sz w:val="16"/>
              </w:rPr>
              <w:t>13,664.08</w:t>
            </w:r>
          </w:p>
        </w:tc>
        <w:tc>
          <w:tcPr>
            <w:tcW w:type="dxa" w:w="1728"/>
            <w:vAlign w:val="top"/>
          </w:tcPr>
          <w:p>
            <w:pPr>
              <w:spacing w:after="0"/>
            </w:pPr>
            <w:r/>
            <w:r>
              <w:rPr>
                <w:rFonts w:ascii="Aptos" w:hAnsi="Aptos"/>
                <w:b w:val="0"/>
                <w:color w:val="303841"/>
                <w:sz w:val="16"/>
              </w:rPr>
              <w:t>10.34</w:t>
            </w:r>
          </w:p>
        </w:tc>
      </w:tr>
      <w:tr>
        <w:tc>
          <w:tcPr>
            <w:tcW w:type="dxa" w:w="2448"/>
            <w:vAlign w:val="top"/>
          </w:tcPr>
          <w:p>
            <w:pPr>
              <w:spacing w:after="0"/>
            </w:pPr>
            <w:r/>
            <w:r>
              <w:rPr>
                <w:rFonts w:ascii="Aptos" w:hAnsi="Aptos"/>
                <w:b w:val="0"/>
                <w:color w:val="303841"/>
                <w:sz w:val="16"/>
              </w:rPr>
              <w:t>Average Order Value</w:t>
            </w:r>
          </w:p>
        </w:tc>
        <w:tc>
          <w:tcPr>
            <w:tcW w:type="dxa" w:w="1728"/>
            <w:vAlign w:val="top"/>
          </w:tcPr>
          <w:p>
            <w:pPr>
              <w:spacing w:after="0"/>
            </w:pPr>
            <w:r/>
            <w:r>
              <w:rPr>
                <w:rFonts w:ascii="Aptos" w:hAnsi="Aptos"/>
                <w:b w:val="0"/>
                <w:color w:val="303841"/>
                <w:sz w:val="16"/>
              </w:rPr>
              <w:t>157.97</w:t>
            </w:r>
          </w:p>
        </w:tc>
        <w:tc>
          <w:tcPr>
            <w:tcW w:type="dxa" w:w="1728"/>
            <w:vAlign w:val="top"/>
          </w:tcPr>
          <w:p>
            <w:pPr>
              <w:spacing w:after="0"/>
            </w:pPr>
            <w:r/>
            <w:r>
              <w:rPr>
                <w:rFonts w:ascii="Aptos" w:hAnsi="Aptos"/>
                <w:b w:val="0"/>
                <w:color w:val="303841"/>
                <w:sz w:val="16"/>
              </w:rPr>
              <w:t>104.37</w:t>
            </w:r>
          </w:p>
        </w:tc>
        <w:tc>
          <w:tcPr>
            <w:tcW w:type="dxa" w:w="2016"/>
            <w:vAlign w:val="top"/>
          </w:tcPr>
          <w:p>
            <w:pPr>
              <w:spacing w:after="0"/>
            </w:pPr>
            <w:r/>
            <w:r>
              <w:rPr>
                <w:rFonts w:ascii="Aptos" w:hAnsi="Aptos"/>
                <w:b w:val="0"/>
                <w:color w:val="303841"/>
                <w:sz w:val="16"/>
              </w:rPr>
              <w:t>13,664.08</w:t>
            </w:r>
          </w:p>
        </w:tc>
        <w:tc>
          <w:tcPr>
            <w:tcW w:type="dxa" w:w="1728"/>
            <w:vAlign w:val="top"/>
          </w:tcPr>
          <w:p>
            <w:pPr>
              <w:spacing w:after="0"/>
            </w:pPr>
            <w:r/>
            <w:r>
              <w:rPr>
                <w:rFonts w:ascii="Aptos" w:hAnsi="Aptos"/>
                <w:b w:val="0"/>
                <w:color w:val="303841"/>
                <w:sz w:val="16"/>
              </w:rPr>
              <w:t>10.51</w:t>
            </w:r>
          </w:p>
        </w:tc>
      </w:tr>
    </w:tbl>
    <w:p>
      <w:pPr>
        <w:spacing w:after="0"/>
      </w:pPr>
    </w:p>
    <w:p>
      <w:r>
        <w:t>Descriptive comparison showed that repeat purchasers had lower mean and median historical recency and somewhat higher mean frequency. Median monetary value was nearly identical between the two groups.</w:t>
      </w:r>
    </w:p>
    <w:tbl>
      <w:tblPr>
        <w:tblW w:type="auto" w:w="0"/>
        <w:jc w:val="center"/>
        <w:tblLook w:firstColumn="1" w:firstRow="1" w:lastColumn="0" w:lastRow="0" w:noHBand="0" w:noVBand="1" w:val="04A0"/>
      </w:tblPr>
      <w:tblGrid>
        <w:gridCol w:w="10080"/>
      </w:tblGrid>
      <w:tr>
        <w:tc>
          <w:tcPr>
            <w:tcW w:type="dxa" w:w="10080"/>
            <w:shd w:fill="F1F5F9"/>
          </w:tcPr>
          <w:p>
            <w:pPr>
              <w:spacing w:after="0"/>
              <w:ind w:left="40"/>
            </w:pPr>
            <w:r/>
            <w:r>
              <w:rPr>
                <w:b/>
                <w:color w:val="17202A"/>
                <w:sz w:val="19"/>
              </w:rPr>
              <w:t>These observations are descriptive rather than causal. They indicate differences in the observed customer population, not that any individual feature causes future purchasing.</w:t>
            </w:r>
          </w:p>
        </w:tc>
      </w:tr>
    </w:tbl>
    <w:p>
      <w:pPr>
        <w:spacing w:after="0"/>
      </w:pPr>
    </w:p>
    <w:p>
      <w:pPr>
        <w:pStyle w:val="Heading2"/>
      </w:pPr>
      <w:r>
        <w:t>Class balance</w:t>
      </w:r>
    </w:p>
    <w:p>
      <w:pPr>
        <w:jc w:val="center"/>
      </w:pPr>
      <w:r>
        <w:drawing>
          <wp:inline xmlns:a="http://schemas.openxmlformats.org/drawingml/2006/main" xmlns:pic="http://schemas.openxmlformats.org/drawingml/2006/picture">
            <wp:extent cx="5577840" cy="2812944"/>
            <wp:docPr id="2" name="Picture 2"/>
            <wp:cNvGraphicFramePr>
              <a:graphicFrameLocks noChangeAspect="1"/>
            </wp:cNvGraphicFramePr>
            <a:graphic>
              <a:graphicData uri="http://schemas.openxmlformats.org/drawingml/2006/picture">
                <pic:pic>
                  <pic:nvPicPr>
                    <pic:cNvPr id="0" name="target_distribution.png"/>
                    <pic:cNvPicPr/>
                  </pic:nvPicPr>
                  <pic:blipFill>
                    <a:blip r:embed="rId10"/>
                    <a:stretch>
                      <a:fillRect/>
                    </a:stretch>
                  </pic:blipFill>
                  <pic:spPr>
                    <a:xfrm>
                      <a:off x="0" y="0"/>
                      <a:ext cx="5577840" cy="2812944"/>
                    </a:xfrm>
                    <a:prstGeom prst="rect"/>
                  </pic:spPr>
                </pic:pic>
              </a:graphicData>
            </a:graphic>
          </wp:inline>
        </w:drawing>
      </w:r>
    </w:p>
    <w:p>
      <w:r>
        <w:t>Of 62,145 historical customers, 61,544 did not make a future delivered purchase and 601 did. The positive class is only 0.97% of the population.</w:t>
      </w:r>
    </w:p>
    <w:p>
      <w:r>
        <w:br w:type="page"/>
      </w:r>
    </w:p>
    <w:p>
      <w:pPr>
        <w:pStyle w:val="Heading1"/>
      </w:pPr>
      <w:r>
        <w:t>8. Model Development</w:t>
      </w:r>
    </w:p>
    <w:p>
      <w:r>
        <w:t>The baseline model is Logistic Regression. It was selected because it provides an interpretable classification benchmark and probability estimates without introducing unnecessary model complexity at the first iteration.</w:t>
      </w:r>
    </w:p>
    <w:p>
      <w:r>
        <w:t>The preprocessing and model are implemented together in a scikit-learn pipeline:</w:t>
      </w:r>
    </w:p>
    <w:p>
      <w:pPr>
        <w:spacing w:after="120"/>
        <w:ind w:left="288"/>
      </w:pPr>
      <w:r>
        <w:rPr>
          <w:rFonts w:ascii="Consolas" w:hAnsi="Consolas"/>
          <w:color w:val="374151"/>
          <w:sz w:val="17"/>
        </w:rPr>
        <w:t>StandardScaler</w:t>
        <w:br/>
        <w:t xml:space="preserve">      ↓</w:t>
        <w:br/>
        <w:t>Logistic Regression</w:t>
      </w:r>
    </w:p>
    <w:p>
      <w:r>
        <w:t>StandardScaler is used so that feature magnitude does not dominate the linear model. class_weight="balanced" is used because the positive class represents only 0.97% of the modeling population.</w:t>
      </w:r>
    </w:p>
    <w:p>
      <w:r>
        <w:t>The dataset is split 80/20 using stratification and random_state=42.</w:t>
      </w:r>
    </w:p>
    <w:tbl>
      <w:tblPr>
        <w:tblStyle w:val="TableGrid"/>
        <w:tblW w:type="auto" w:w="0"/>
        <w:jc w:val="center"/>
        <w:tblLook w:firstColumn="1" w:firstRow="1" w:lastColumn="0" w:lastRow="0" w:noHBand="0" w:noVBand="1" w:val="04A0"/>
      </w:tblPr>
      <w:tblGrid>
        <w:gridCol w:w="3360"/>
        <w:gridCol w:w="3360"/>
        <w:gridCol w:w="3360"/>
      </w:tblGrid>
      <w:tr>
        <w:tc>
          <w:tcPr>
            <w:tcW w:type="dxa" w:w="3024"/>
            <w:vAlign w:val="top"/>
            <w:shd w:fill="334155"/>
          </w:tcPr>
          <w:p>
            <w:pPr>
              <w:spacing w:after="0"/>
            </w:pPr>
            <w:r/>
            <w:r>
              <w:rPr>
                <w:rFonts w:ascii="Aptos" w:hAnsi="Aptos"/>
                <w:b/>
                <w:color w:val="FFFFFF"/>
                <w:sz w:val="17"/>
              </w:rPr>
              <w:t>Split</w:t>
            </w:r>
          </w:p>
        </w:tc>
        <w:tc>
          <w:tcPr>
            <w:tcW w:type="dxa" w:w="3024"/>
            <w:vAlign w:val="top"/>
            <w:shd w:fill="334155"/>
          </w:tcPr>
          <w:p>
            <w:pPr>
              <w:spacing w:after="0"/>
            </w:pPr>
            <w:r/>
            <w:r>
              <w:rPr>
                <w:rFonts w:ascii="Aptos" w:hAnsi="Aptos"/>
                <w:b/>
                <w:color w:val="FFFFFF"/>
                <w:sz w:val="17"/>
              </w:rPr>
              <w:t>Customers</w:t>
            </w:r>
          </w:p>
        </w:tc>
        <w:tc>
          <w:tcPr>
            <w:tcW w:type="dxa" w:w="3024"/>
            <w:vAlign w:val="top"/>
            <w:shd w:fill="334155"/>
          </w:tcPr>
          <w:p>
            <w:pPr>
              <w:spacing w:after="0"/>
            </w:pPr>
            <w:r/>
            <w:r>
              <w:rPr>
                <w:rFonts w:ascii="Aptos" w:hAnsi="Aptos"/>
                <w:b/>
                <w:color w:val="FFFFFF"/>
                <w:sz w:val="17"/>
              </w:rPr>
              <w:t>Repeat purchasers</w:t>
            </w:r>
          </w:p>
        </w:tc>
      </w:tr>
      <w:tr>
        <w:tc>
          <w:tcPr>
            <w:tcW w:type="dxa" w:w="3024"/>
            <w:vAlign w:val="top"/>
          </w:tcPr>
          <w:p>
            <w:pPr>
              <w:spacing w:after="0"/>
            </w:pPr>
            <w:r/>
            <w:r>
              <w:rPr>
                <w:rFonts w:ascii="Aptos" w:hAnsi="Aptos"/>
                <w:b w:val="0"/>
                <w:color w:val="303841"/>
                <w:sz w:val="16"/>
              </w:rPr>
              <w:t>Training</w:t>
            </w:r>
          </w:p>
        </w:tc>
        <w:tc>
          <w:tcPr>
            <w:tcW w:type="dxa" w:w="3024"/>
            <w:vAlign w:val="top"/>
          </w:tcPr>
          <w:p>
            <w:pPr>
              <w:spacing w:after="0"/>
            </w:pPr>
            <w:r/>
            <w:r>
              <w:rPr>
                <w:rFonts w:ascii="Aptos" w:hAnsi="Aptos"/>
                <w:b w:val="0"/>
                <w:color w:val="303841"/>
                <w:sz w:val="16"/>
              </w:rPr>
              <w:t>49,716</w:t>
            </w:r>
          </w:p>
        </w:tc>
        <w:tc>
          <w:tcPr>
            <w:tcW w:type="dxa" w:w="3024"/>
            <w:vAlign w:val="top"/>
          </w:tcPr>
          <w:p>
            <w:pPr>
              <w:spacing w:after="0"/>
            </w:pPr>
            <w:r/>
            <w:r>
              <w:rPr>
                <w:rFonts w:ascii="Aptos" w:hAnsi="Aptos"/>
                <w:b w:val="0"/>
                <w:color w:val="303841"/>
                <w:sz w:val="16"/>
              </w:rPr>
              <w:t>481</w:t>
            </w:r>
          </w:p>
        </w:tc>
      </w:tr>
      <w:tr>
        <w:tc>
          <w:tcPr>
            <w:tcW w:type="dxa" w:w="3024"/>
            <w:vAlign w:val="top"/>
          </w:tcPr>
          <w:p>
            <w:pPr>
              <w:spacing w:after="0"/>
            </w:pPr>
            <w:r/>
            <w:r>
              <w:rPr>
                <w:rFonts w:ascii="Aptos" w:hAnsi="Aptos"/>
                <w:b w:val="0"/>
                <w:color w:val="303841"/>
                <w:sz w:val="16"/>
              </w:rPr>
              <w:t>Test</w:t>
            </w:r>
          </w:p>
        </w:tc>
        <w:tc>
          <w:tcPr>
            <w:tcW w:type="dxa" w:w="3024"/>
            <w:vAlign w:val="top"/>
          </w:tcPr>
          <w:p>
            <w:pPr>
              <w:spacing w:after="0"/>
            </w:pPr>
            <w:r/>
            <w:r>
              <w:rPr>
                <w:rFonts w:ascii="Aptos" w:hAnsi="Aptos"/>
                <w:b w:val="0"/>
                <w:color w:val="303841"/>
                <w:sz w:val="16"/>
              </w:rPr>
              <w:t>12,429</w:t>
            </w:r>
          </w:p>
        </w:tc>
        <w:tc>
          <w:tcPr>
            <w:tcW w:type="dxa" w:w="3024"/>
            <w:vAlign w:val="top"/>
          </w:tcPr>
          <w:p>
            <w:pPr>
              <w:spacing w:after="0"/>
            </w:pPr>
            <w:r/>
            <w:r>
              <w:rPr>
                <w:rFonts w:ascii="Aptos" w:hAnsi="Aptos"/>
                <w:b w:val="0"/>
                <w:color w:val="303841"/>
                <w:sz w:val="16"/>
              </w:rPr>
              <w:t>120</w:t>
            </w:r>
          </w:p>
        </w:tc>
      </w:tr>
    </w:tbl>
    <w:p>
      <w:pPr>
        <w:spacing w:after="0"/>
      </w:pPr>
    </w:p>
    <w:p>
      <w:r>
        <w:t>Stratification is important here because a random split without it could produce an unstable representation of the already-small positive class.</w:t>
      </w:r>
    </w:p>
    <w:p>
      <w:pPr>
        <w:pStyle w:val="Heading1"/>
      </w:pPr>
      <w:r>
        <w:t>9. Model Evaluation</w:t>
      </w:r>
    </w:p>
    <w:p>
      <w:r>
        <w:t>Accuracy is not used as the primary measure because a classifier that predicts nearly everyone as non-repeat could achieve very high accuracy while failing to identify the behavior of interest.</w:t>
      </w:r>
    </w:p>
    <w:tbl>
      <w:tblPr>
        <w:tblStyle w:val="TableGrid"/>
        <w:tblW w:type="auto" w:w="0"/>
        <w:jc w:val="center"/>
        <w:tblLook w:firstColumn="1" w:firstRow="1" w:lastColumn="0" w:lastRow="0" w:noHBand="0" w:noVBand="1" w:val="04A0"/>
      </w:tblPr>
      <w:tblGrid>
        <w:gridCol w:w="5040"/>
        <w:gridCol w:w="5040"/>
      </w:tblGrid>
      <w:tr>
        <w:tc>
          <w:tcPr>
            <w:tcW w:type="dxa" w:w="4896"/>
            <w:vAlign w:val="top"/>
            <w:shd w:fill="334155"/>
          </w:tcPr>
          <w:p>
            <w:pPr>
              <w:spacing w:after="0"/>
            </w:pPr>
            <w:r/>
            <w:r>
              <w:rPr>
                <w:rFonts w:ascii="Aptos" w:hAnsi="Aptos"/>
                <w:b/>
                <w:color w:val="FFFFFF"/>
                <w:sz w:val="17"/>
              </w:rPr>
              <w:t>Metric</w:t>
            </w:r>
          </w:p>
        </w:tc>
        <w:tc>
          <w:tcPr>
            <w:tcW w:type="dxa" w:w="4176"/>
            <w:vAlign w:val="top"/>
            <w:shd w:fill="334155"/>
          </w:tcPr>
          <w:p>
            <w:pPr>
              <w:spacing w:after="0"/>
            </w:pPr>
            <w:r/>
            <w:r>
              <w:rPr>
                <w:rFonts w:ascii="Aptos" w:hAnsi="Aptos"/>
                <w:b/>
                <w:color w:val="FFFFFF"/>
                <w:sz w:val="17"/>
              </w:rPr>
              <w:t>Result</w:t>
            </w:r>
          </w:p>
        </w:tc>
      </w:tr>
      <w:tr>
        <w:tc>
          <w:tcPr>
            <w:tcW w:type="dxa" w:w="4896"/>
            <w:vAlign w:val="top"/>
          </w:tcPr>
          <w:p>
            <w:pPr>
              <w:spacing w:after="0"/>
            </w:pPr>
            <w:r/>
            <w:r>
              <w:rPr>
                <w:rFonts w:ascii="Aptos" w:hAnsi="Aptos"/>
                <w:b w:val="0"/>
                <w:color w:val="303841"/>
                <w:sz w:val="16"/>
              </w:rPr>
              <w:t>Precision</w:t>
            </w:r>
          </w:p>
        </w:tc>
        <w:tc>
          <w:tcPr>
            <w:tcW w:type="dxa" w:w="4176"/>
            <w:vAlign w:val="top"/>
          </w:tcPr>
          <w:p>
            <w:pPr>
              <w:spacing w:after="0"/>
            </w:pPr>
            <w:r/>
            <w:r>
              <w:rPr>
                <w:rFonts w:ascii="Aptos" w:hAnsi="Aptos"/>
                <w:b w:val="0"/>
                <w:color w:val="303841"/>
                <w:sz w:val="16"/>
              </w:rPr>
              <w:t>1.36%</w:t>
            </w:r>
          </w:p>
        </w:tc>
      </w:tr>
      <w:tr>
        <w:tc>
          <w:tcPr>
            <w:tcW w:type="dxa" w:w="4896"/>
            <w:vAlign w:val="top"/>
          </w:tcPr>
          <w:p>
            <w:pPr>
              <w:spacing w:after="0"/>
            </w:pPr>
            <w:r/>
            <w:r>
              <w:rPr>
                <w:rFonts w:ascii="Aptos" w:hAnsi="Aptos"/>
                <w:b w:val="0"/>
                <w:color w:val="303841"/>
                <w:sz w:val="16"/>
              </w:rPr>
              <w:t>Recall</w:t>
            </w:r>
          </w:p>
        </w:tc>
        <w:tc>
          <w:tcPr>
            <w:tcW w:type="dxa" w:w="4176"/>
            <w:vAlign w:val="top"/>
          </w:tcPr>
          <w:p>
            <w:pPr>
              <w:spacing w:after="0"/>
            </w:pPr>
            <w:r/>
            <w:r>
              <w:rPr>
                <w:rFonts w:ascii="Aptos" w:hAnsi="Aptos"/>
                <w:b w:val="0"/>
                <w:color w:val="303841"/>
                <w:sz w:val="16"/>
              </w:rPr>
              <w:t>56.67%</w:t>
            </w:r>
          </w:p>
        </w:tc>
      </w:tr>
      <w:tr>
        <w:tc>
          <w:tcPr>
            <w:tcW w:type="dxa" w:w="4896"/>
            <w:vAlign w:val="top"/>
          </w:tcPr>
          <w:p>
            <w:pPr>
              <w:spacing w:after="0"/>
            </w:pPr>
            <w:r/>
            <w:r>
              <w:rPr>
                <w:rFonts w:ascii="Aptos" w:hAnsi="Aptos"/>
                <w:b w:val="0"/>
                <w:color w:val="303841"/>
                <w:sz w:val="16"/>
              </w:rPr>
              <w:t>F1-score</w:t>
            </w:r>
          </w:p>
        </w:tc>
        <w:tc>
          <w:tcPr>
            <w:tcW w:type="dxa" w:w="4176"/>
            <w:vAlign w:val="top"/>
          </w:tcPr>
          <w:p>
            <w:pPr>
              <w:spacing w:after="0"/>
            </w:pPr>
            <w:r/>
            <w:r>
              <w:rPr>
                <w:rFonts w:ascii="Aptos" w:hAnsi="Aptos"/>
                <w:b w:val="0"/>
                <w:color w:val="303841"/>
                <w:sz w:val="16"/>
              </w:rPr>
              <w:t>2.65%</w:t>
            </w:r>
          </w:p>
        </w:tc>
      </w:tr>
      <w:tr>
        <w:tc>
          <w:tcPr>
            <w:tcW w:type="dxa" w:w="4896"/>
            <w:vAlign w:val="top"/>
          </w:tcPr>
          <w:p>
            <w:pPr>
              <w:spacing w:after="0"/>
            </w:pPr>
            <w:r/>
            <w:r>
              <w:rPr>
                <w:rFonts w:ascii="Aptos" w:hAnsi="Aptos"/>
                <w:b w:val="0"/>
                <w:color w:val="303841"/>
                <w:sz w:val="16"/>
              </w:rPr>
              <w:t>Average Precision</w:t>
            </w:r>
          </w:p>
        </w:tc>
        <w:tc>
          <w:tcPr>
            <w:tcW w:type="dxa" w:w="4176"/>
            <w:vAlign w:val="top"/>
          </w:tcPr>
          <w:p>
            <w:pPr>
              <w:spacing w:after="0"/>
            </w:pPr>
            <w:r/>
            <w:r>
              <w:rPr>
                <w:rFonts w:ascii="Aptos" w:hAnsi="Aptos"/>
                <w:b w:val="0"/>
                <w:color w:val="303841"/>
                <w:sz w:val="16"/>
              </w:rPr>
              <w:t>2.18%</w:t>
            </w:r>
          </w:p>
        </w:tc>
      </w:tr>
      <w:tr>
        <w:tc>
          <w:tcPr>
            <w:tcW w:type="dxa" w:w="4896"/>
            <w:vAlign w:val="top"/>
          </w:tcPr>
          <w:p>
            <w:pPr>
              <w:spacing w:after="0"/>
            </w:pPr>
            <w:r/>
            <w:r>
              <w:rPr>
                <w:rFonts w:ascii="Aptos" w:hAnsi="Aptos"/>
                <w:b w:val="0"/>
                <w:color w:val="303841"/>
                <w:sz w:val="16"/>
              </w:rPr>
              <w:t>ROC-AUC</w:t>
            </w:r>
          </w:p>
        </w:tc>
        <w:tc>
          <w:tcPr>
            <w:tcW w:type="dxa" w:w="4176"/>
            <w:vAlign w:val="top"/>
          </w:tcPr>
          <w:p>
            <w:pPr>
              <w:spacing w:after="0"/>
            </w:pPr>
            <w:r/>
            <w:r>
              <w:rPr>
                <w:rFonts w:ascii="Aptos" w:hAnsi="Aptos"/>
                <w:b w:val="0"/>
                <w:color w:val="303841"/>
                <w:sz w:val="16"/>
              </w:rPr>
              <w:t>0.618</w:t>
            </w:r>
          </w:p>
        </w:tc>
      </w:tr>
    </w:tbl>
    <w:p>
      <w:pPr>
        <w:spacing w:after="0"/>
      </w:pPr>
    </w:p>
    <w:p>
      <w:pPr>
        <w:jc w:val="center"/>
      </w:pPr>
      <w:r>
        <w:drawing>
          <wp:inline xmlns:a="http://schemas.openxmlformats.org/drawingml/2006/main" xmlns:pic="http://schemas.openxmlformats.org/drawingml/2006/picture">
            <wp:extent cx="5577840" cy="2891566"/>
            <wp:docPr id="3" name="Picture 3"/>
            <wp:cNvGraphicFramePr>
              <a:graphicFrameLocks noChangeAspect="1"/>
            </wp:cNvGraphicFramePr>
            <a:graphic>
              <a:graphicData uri="http://schemas.openxmlformats.org/drawingml/2006/picture">
                <pic:pic>
                  <pic:nvPicPr>
                    <pic:cNvPr id="0" name="model_metrics.png"/>
                    <pic:cNvPicPr/>
                  </pic:nvPicPr>
                  <pic:blipFill>
                    <a:blip r:embed="rId11"/>
                    <a:stretch>
                      <a:fillRect/>
                    </a:stretch>
                  </pic:blipFill>
                  <pic:spPr>
                    <a:xfrm>
                      <a:off x="0" y="0"/>
                      <a:ext cx="5577840" cy="2891566"/>
                    </a:xfrm>
                    <a:prstGeom prst="rect"/>
                  </pic:spPr>
                </pic:pic>
              </a:graphicData>
            </a:graphic>
          </wp:inline>
        </w:drawing>
      </w:r>
    </w:p>
    <w:p>
      <w:r>
        <w:t>At the default 0.50 threshold, the model correctly identified 68 of the 120 repeat purchasers in the test set, while also producing 4,943 false positives.</w:t>
      </w:r>
    </w:p>
    <w:tbl>
      <w:tblPr>
        <w:tblStyle w:val="TableGrid"/>
        <w:tblW w:type="auto" w:w="0"/>
        <w:jc w:val="center"/>
        <w:tblLook w:firstColumn="1" w:firstRow="1" w:lastColumn="0" w:lastRow="0" w:noHBand="0" w:noVBand="1" w:val="04A0"/>
      </w:tblPr>
      <w:tblGrid>
        <w:gridCol w:w="3360"/>
        <w:gridCol w:w="3360"/>
        <w:gridCol w:w="3360"/>
      </w:tblGrid>
      <w:tr>
        <w:tc>
          <w:tcPr>
            <w:tcW w:type="dxa" w:w="3024"/>
            <w:vAlign w:val="top"/>
            <w:shd w:fill="334155"/>
          </w:tcPr>
          <w:p>
            <w:pPr>
              <w:spacing w:after="0"/>
            </w:pPr>
            <w:r/>
            <w:r>
              <w:rPr>
                <w:rFonts w:ascii="Aptos" w:hAnsi="Aptos"/>
                <w:b/>
                <w:color w:val="FFFFFF"/>
                <w:sz w:val="17"/>
              </w:rPr>
            </w:r>
          </w:p>
        </w:tc>
        <w:tc>
          <w:tcPr>
            <w:tcW w:type="dxa" w:w="3024"/>
            <w:vAlign w:val="top"/>
            <w:shd w:fill="334155"/>
          </w:tcPr>
          <w:p>
            <w:pPr>
              <w:spacing w:after="0"/>
            </w:pPr>
            <w:r/>
            <w:r>
              <w:rPr>
                <w:rFonts w:ascii="Aptos" w:hAnsi="Aptos"/>
                <w:b/>
                <w:color w:val="FFFFFF"/>
                <w:sz w:val="17"/>
              </w:rPr>
              <w:t>Predicted 0</w:t>
            </w:r>
          </w:p>
        </w:tc>
        <w:tc>
          <w:tcPr>
            <w:tcW w:type="dxa" w:w="3024"/>
            <w:vAlign w:val="top"/>
            <w:shd w:fill="334155"/>
          </w:tcPr>
          <w:p>
            <w:pPr>
              <w:spacing w:after="0"/>
            </w:pPr>
            <w:r/>
            <w:r>
              <w:rPr>
                <w:rFonts w:ascii="Aptos" w:hAnsi="Aptos"/>
                <w:b/>
                <w:color w:val="FFFFFF"/>
                <w:sz w:val="17"/>
              </w:rPr>
              <w:t>Predicted 1</w:t>
            </w:r>
          </w:p>
        </w:tc>
      </w:tr>
      <w:tr>
        <w:tc>
          <w:tcPr>
            <w:tcW w:type="dxa" w:w="3024"/>
            <w:vAlign w:val="top"/>
          </w:tcPr>
          <w:p>
            <w:pPr>
              <w:spacing w:after="0"/>
            </w:pPr>
            <w:r/>
            <w:r>
              <w:rPr>
                <w:rFonts w:ascii="Aptos" w:hAnsi="Aptos"/>
                <w:b w:val="0"/>
                <w:color w:val="303841"/>
                <w:sz w:val="16"/>
              </w:rPr>
              <w:t>Actual 0</w:t>
            </w:r>
          </w:p>
        </w:tc>
        <w:tc>
          <w:tcPr>
            <w:tcW w:type="dxa" w:w="3024"/>
            <w:vAlign w:val="top"/>
          </w:tcPr>
          <w:p>
            <w:pPr>
              <w:spacing w:after="0"/>
            </w:pPr>
            <w:r/>
            <w:r>
              <w:rPr>
                <w:rFonts w:ascii="Aptos" w:hAnsi="Aptos"/>
                <w:b w:val="0"/>
                <w:color w:val="303841"/>
                <w:sz w:val="16"/>
              </w:rPr>
              <w:t>7,366</w:t>
            </w:r>
          </w:p>
        </w:tc>
        <w:tc>
          <w:tcPr>
            <w:tcW w:type="dxa" w:w="3024"/>
            <w:vAlign w:val="top"/>
          </w:tcPr>
          <w:p>
            <w:pPr>
              <w:spacing w:after="0"/>
            </w:pPr>
            <w:r/>
            <w:r>
              <w:rPr>
                <w:rFonts w:ascii="Aptos" w:hAnsi="Aptos"/>
                <w:b w:val="0"/>
                <w:color w:val="303841"/>
                <w:sz w:val="16"/>
              </w:rPr>
              <w:t>4,943</w:t>
            </w:r>
          </w:p>
        </w:tc>
      </w:tr>
      <w:tr>
        <w:tc>
          <w:tcPr>
            <w:tcW w:type="dxa" w:w="3024"/>
            <w:vAlign w:val="top"/>
          </w:tcPr>
          <w:p>
            <w:pPr>
              <w:spacing w:after="0"/>
            </w:pPr>
            <w:r/>
            <w:r>
              <w:rPr>
                <w:rFonts w:ascii="Aptos" w:hAnsi="Aptos"/>
                <w:b w:val="0"/>
                <w:color w:val="303841"/>
                <w:sz w:val="16"/>
              </w:rPr>
              <w:t>Actual 1</w:t>
            </w:r>
          </w:p>
        </w:tc>
        <w:tc>
          <w:tcPr>
            <w:tcW w:type="dxa" w:w="3024"/>
            <w:vAlign w:val="top"/>
          </w:tcPr>
          <w:p>
            <w:pPr>
              <w:spacing w:after="0"/>
            </w:pPr>
            <w:r/>
            <w:r>
              <w:rPr>
                <w:rFonts w:ascii="Aptos" w:hAnsi="Aptos"/>
                <w:b w:val="0"/>
                <w:color w:val="303841"/>
                <w:sz w:val="16"/>
              </w:rPr>
              <w:t>52</w:t>
            </w:r>
          </w:p>
        </w:tc>
        <w:tc>
          <w:tcPr>
            <w:tcW w:type="dxa" w:w="3024"/>
            <w:vAlign w:val="top"/>
          </w:tcPr>
          <w:p>
            <w:pPr>
              <w:spacing w:after="0"/>
            </w:pPr>
            <w:r/>
            <w:r>
              <w:rPr>
                <w:rFonts w:ascii="Aptos" w:hAnsi="Aptos"/>
                <w:b w:val="0"/>
                <w:color w:val="303841"/>
                <w:sz w:val="16"/>
              </w:rPr>
              <w:t>68</w:t>
            </w:r>
          </w:p>
        </w:tc>
      </w:tr>
    </w:tbl>
    <w:p>
      <w:pPr>
        <w:spacing w:after="0"/>
      </w:pPr>
    </w:p>
    <w:tbl>
      <w:tblPr>
        <w:tblW w:type="auto" w:w="0"/>
        <w:jc w:val="center"/>
        <w:tblLook w:firstColumn="1" w:firstRow="1" w:lastColumn="0" w:lastRow="0" w:noHBand="0" w:noVBand="1" w:val="04A0"/>
      </w:tblPr>
      <w:tblGrid>
        <w:gridCol w:w="10080"/>
      </w:tblGrid>
      <w:tr>
        <w:tc>
          <w:tcPr>
            <w:tcW w:type="dxa" w:w="10080"/>
            <w:shd w:fill="F1F5F9"/>
          </w:tcPr>
          <w:p>
            <w:pPr>
              <w:spacing w:after="0"/>
              <w:ind w:left="40"/>
            </w:pPr>
            <w:r/>
            <w:r>
              <w:rPr>
                <w:b/>
                <w:color w:val="17202A"/>
                <w:sz w:val="19"/>
              </w:rPr>
              <w:t>The combination of moderate recall and very low precision means the baseline identifies a substantial portion of repeat purchasers but casts a very wide net.</w:t>
            </w:r>
          </w:p>
        </w:tc>
      </w:tr>
    </w:tbl>
    <w:p>
      <w:pPr>
        <w:spacing w:after="0"/>
      </w:pPr>
    </w:p>
    <w:p>
      <w:pPr>
        <w:pStyle w:val="Heading1"/>
      </w:pPr>
      <w:r>
        <w:t>10. Threshold Analysis</w:t>
      </w:r>
    </w:p>
    <w:p>
      <w:r>
        <w:t>The model produces probabilities that can be converted into binary decisions using different classification thresholds. Because the target is rare, threshold selection can materially change the number of customers flagged as likely repeat purchasers.</w:t>
      </w:r>
    </w:p>
    <w:p>
      <w:pPr>
        <w:jc w:val="center"/>
      </w:pPr>
      <w:r>
        <w:drawing>
          <wp:inline xmlns:a="http://schemas.openxmlformats.org/drawingml/2006/main" xmlns:pic="http://schemas.openxmlformats.org/drawingml/2006/picture">
            <wp:extent cx="5577840" cy="3044444"/>
            <wp:docPr id="4" name="Picture 4"/>
            <wp:cNvGraphicFramePr>
              <a:graphicFrameLocks noChangeAspect="1"/>
            </wp:cNvGraphicFramePr>
            <a:graphic>
              <a:graphicData uri="http://schemas.openxmlformats.org/drawingml/2006/picture">
                <pic:pic>
                  <pic:nvPicPr>
                    <pic:cNvPr id="0" name="threshold_analysis.png"/>
                    <pic:cNvPicPr/>
                  </pic:nvPicPr>
                  <pic:blipFill>
                    <a:blip r:embed="rId12"/>
                    <a:stretch>
                      <a:fillRect/>
                    </a:stretch>
                  </pic:blipFill>
                  <pic:spPr>
                    <a:xfrm>
                      <a:off x="0" y="0"/>
                      <a:ext cx="5577840" cy="3044444"/>
                    </a:xfrm>
                    <a:prstGeom prst="rect"/>
                  </pic:spPr>
                </pic:pic>
              </a:graphicData>
            </a:graphic>
          </wp:inline>
        </w:drawing>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top"/>
            <w:shd w:fill="334155"/>
          </w:tcPr>
          <w:p>
            <w:pPr>
              <w:spacing w:after="0"/>
            </w:pPr>
            <w:r/>
            <w:r>
              <w:rPr>
                <w:rFonts w:ascii="Aptos" w:hAnsi="Aptos"/>
                <w:b/>
                <w:color w:val="FFFFFF"/>
                <w:sz w:val="17"/>
              </w:rPr>
              <w:t>Threshold</w:t>
            </w:r>
          </w:p>
        </w:tc>
        <w:tc>
          <w:tcPr>
            <w:tcW w:type="dxa" w:w="2448"/>
            <w:vAlign w:val="top"/>
            <w:shd w:fill="334155"/>
          </w:tcPr>
          <w:p>
            <w:pPr>
              <w:spacing w:after="0"/>
            </w:pPr>
            <w:r/>
            <w:r>
              <w:rPr>
                <w:rFonts w:ascii="Aptos" w:hAnsi="Aptos"/>
                <w:b/>
                <w:color w:val="FFFFFF"/>
                <w:sz w:val="17"/>
              </w:rPr>
              <w:t>Precision</w:t>
            </w:r>
          </w:p>
        </w:tc>
        <w:tc>
          <w:tcPr>
            <w:tcW w:type="dxa" w:w="2448"/>
            <w:vAlign w:val="top"/>
            <w:shd w:fill="334155"/>
          </w:tcPr>
          <w:p>
            <w:pPr>
              <w:spacing w:after="0"/>
            </w:pPr>
            <w:r/>
            <w:r>
              <w:rPr>
                <w:rFonts w:ascii="Aptos" w:hAnsi="Aptos"/>
                <w:b/>
                <w:color w:val="FFFFFF"/>
                <w:sz w:val="17"/>
              </w:rPr>
              <w:t>Recall</w:t>
            </w:r>
          </w:p>
        </w:tc>
        <w:tc>
          <w:tcPr>
            <w:tcW w:type="dxa" w:w="2448"/>
            <w:vAlign w:val="top"/>
            <w:shd w:fill="334155"/>
          </w:tcPr>
          <w:p>
            <w:pPr>
              <w:spacing w:after="0"/>
            </w:pPr>
            <w:r/>
            <w:r>
              <w:rPr>
                <w:rFonts w:ascii="Aptos" w:hAnsi="Aptos"/>
                <w:b/>
                <w:color w:val="FFFFFF"/>
                <w:sz w:val="17"/>
              </w:rPr>
              <w:t>F1</w:t>
            </w:r>
          </w:p>
        </w:tc>
      </w:tr>
      <w:tr>
        <w:tc>
          <w:tcPr>
            <w:tcW w:type="dxa" w:w="2160"/>
            <w:vAlign w:val="top"/>
          </w:tcPr>
          <w:p>
            <w:pPr>
              <w:spacing w:after="0"/>
            </w:pPr>
            <w:r/>
            <w:r>
              <w:rPr>
                <w:rFonts w:ascii="Aptos" w:hAnsi="Aptos"/>
                <w:b w:val="0"/>
                <w:color w:val="303841"/>
                <w:sz w:val="16"/>
              </w:rPr>
              <w:t>0.50</w:t>
            </w:r>
          </w:p>
        </w:tc>
        <w:tc>
          <w:tcPr>
            <w:tcW w:type="dxa" w:w="2448"/>
            <w:vAlign w:val="top"/>
          </w:tcPr>
          <w:p>
            <w:pPr>
              <w:spacing w:after="0"/>
            </w:pPr>
            <w:r/>
            <w:r>
              <w:rPr>
                <w:rFonts w:ascii="Aptos" w:hAnsi="Aptos"/>
                <w:b w:val="0"/>
                <w:color w:val="303841"/>
                <w:sz w:val="16"/>
              </w:rPr>
              <w:t>1.36%</w:t>
            </w:r>
          </w:p>
        </w:tc>
        <w:tc>
          <w:tcPr>
            <w:tcW w:type="dxa" w:w="2448"/>
            <w:vAlign w:val="top"/>
          </w:tcPr>
          <w:p>
            <w:pPr>
              <w:spacing w:after="0"/>
            </w:pPr>
            <w:r/>
            <w:r>
              <w:rPr>
                <w:rFonts w:ascii="Aptos" w:hAnsi="Aptos"/>
                <w:b w:val="0"/>
                <w:color w:val="303841"/>
                <w:sz w:val="16"/>
              </w:rPr>
              <w:t>56.67%</w:t>
            </w:r>
          </w:p>
        </w:tc>
        <w:tc>
          <w:tcPr>
            <w:tcW w:type="dxa" w:w="2448"/>
            <w:vAlign w:val="top"/>
          </w:tcPr>
          <w:p>
            <w:pPr>
              <w:spacing w:after="0"/>
            </w:pPr>
            <w:r/>
            <w:r>
              <w:rPr>
                <w:rFonts w:ascii="Aptos" w:hAnsi="Aptos"/>
                <w:b w:val="0"/>
                <w:color w:val="303841"/>
                <w:sz w:val="16"/>
              </w:rPr>
              <w:t>2.65%</w:t>
            </w:r>
          </w:p>
        </w:tc>
      </w:tr>
      <w:tr>
        <w:tc>
          <w:tcPr>
            <w:tcW w:type="dxa" w:w="2160"/>
            <w:vAlign w:val="top"/>
          </w:tcPr>
          <w:p>
            <w:pPr>
              <w:spacing w:after="0"/>
            </w:pPr>
            <w:r/>
            <w:r>
              <w:rPr>
                <w:rFonts w:ascii="Aptos" w:hAnsi="Aptos"/>
                <w:b w:val="0"/>
                <w:color w:val="303841"/>
                <w:sz w:val="16"/>
              </w:rPr>
              <w:t>0.40</w:t>
            </w:r>
          </w:p>
        </w:tc>
        <w:tc>
          <w:tcPr>
            <w:tcW w:type="dxa" w:w="2448"/>
            <w:vAlign w:val="top"/>
          </w:tcPr>
          <w:p>
            <w:pPr>
              <w:spacing w:after="0"/>
            </w:pPr>
            <w:r/>
            <w:r>
              <w:rPr>
                <w:rFonts w:ascii="Aptos" w:hAnsi="Aptos"/>
                <w:b w:val="0"/>
                <w:color w:val="303841"/>
                <w:sz w:val="16"/>
              </w:rPr>
              <w:t>1.00%</w:t>
            </w:r>
          </w:p>
        </w:tc>
        <w:tc>
          <w:tcPr>
            <w:tcW w:type="dxa" w:w="2448"/>
            <w:vAlign w:val="top"/>
          </w:tcPr>
          <w:p>
            <w:pPr>
              <w:spacing w:after="0"/>
            </w:pPr>
            <w:r/>
            <w:r>
              <w:rPr>
                <w:rFonts w:ascii="Aptos" w:hAnsi="Aptos"/>
                <w:b w:val="0"/>
                <w:color w:val="303841"/>
                <w:sz w:val="16"/>
              </w:rPr>
              <w:t>97.50%</w:t>
            </w:r>
          </w:p>
        </w:tc>
        <w:tc>
          <w:tcPr>
            <w:tcW w:type="dxa" w:w="2448"/>
            <w:vAlign w:val="top"/>
          </w:tcPr>
          <w:p>
            <w:pPr>
              <w:spacing w:after="0"/>
            </w:pPr>
            <w:r/>
            <w:r>
              <w:rPr>
                <w:rFonts w:ascii="Aptos" w:hAnsi="Aptos"/>
                <w:b w:val="0"/>
                <w:color w:val="303841"/>
                <w:sz w:val="16"/>
              </w:rPr>
              <w:t>1.99%</w:t>
            </w:r>
          </w:p>
        </w:tc>
      </w:tr>
      <w:tr>
        <w:tc>
          <w:tcPr>
            <w:tcW w:type="dxa" w:w="2160"/>
            <w:vAlign w:val="top"/>
          </w:tcPr>
          <w:p>
            <w:pPr>
              <w:spacing w:after="0"/>
            </w:pPr>
            <w:r/>
            <w:r>
              <w:rPr>
                <w:rFonts w:ascii="Aptos" w:hAnsi="Aptos"/>
                <w:b w:val="0"/>
                <w:color w:val="303841"/>
                <w:sz w:val="16"/>
              </w:rPr>
              <w:t>0.30</w:t>
            </w:r>
          </w:p>
        </w:tc>
        <w:tc>
          <w:tcPr>
            <w:tcW w:type="dxa" w:w="2448"/>
            <w:vAlign w:val="top"/>
          </w:tcPr>
          <w:p>
            <w:pPr>
              <w:spacing w:after="0"/>
            </w:pPr>
            <w:r/>
            <w:r>
              <w:rPr>
                <w:rFonts w:ascii="Aptos" w:hAnsi="Aptos"/>
                <w:b w:val="0"/>
                <w:color w:val="303841"/>
                <w:sz w:val="16"/>
              </w:rPr>
              <w:t>0.97%</w:t>
            </w:r>
          </w:p>
        </w:tc>
        <w:tc>
          <w:tcPr>
            <w:tcW w:type="dxa" w:w="2448"/>
            <w:vAlign w:val="top"/>
          </w:tcPr>
          <w:p>
            <w:pPr>
              <w:spacing w:after="0"/>
            </w:pPr>
            <w:r/>
            <w:r>
              <w:rPr>
                <w:rFonts w:ascii="Aptos" w:hAnsi="Aptos"/>
                <w:b w:val="0"/>
                <w:color w:val="303841"/>
                <w:sz w:val="16"/>
              </w:rPr>
              <w:t>100.00%</w:t>
            </w:r>
          </w:p>
        </w:tc>
        <w:tc>
          <w:tcPr>
            <w:tcW w:type="dxa" w:w="2448"/>
            <w:vAlign w:val="top"/>
          </w:tcPr>
          <w:p>
            <w:pPr>
              <w:spacing w:after="0"/>
            </w:pPr>
            <w:r/>
            <w:r>
              <w:rPr>
                <w:rFonts w:ascii="Aptos" w:hAnsi="Aptos"/>
                <w:b w:val="0"/>
                <w:color w:val="303841"/>
                <w:sz w:val="16"/>
              </w:rPr>
              <w:t>1.93%</w:t>
            </w:r>
          </w:p>
        </w:tc>
      </w:tr>
      <w:tr>
        <w:tc>
          <w:tcPr>
            <w:tcW w:type="dxa" w:w="2160"/>
            <w:vAlign w:val="top"/>
          </w:tcPr>
          <w:p>
            <w:pPr>
              <w:spacing w:after="0"/>
            </w:pPr>
            <w:r/>
            <w:r>
              <w:rPr>
                <w:rFonts w:ascii="Aptos" w:hAnsi="Aptos"/>
                <w:b w:val="0"/>
                <w:color w:val="303841"/>
                <w:sz w:val="16"/>
              </w:rPr>
              <w:t>0.20</w:t>
            </w:r>
          </w:p>
        </w:tc>
        <w:tc>
          <w:tcPr>
            <w:tcW w:type="dxa" w:w="2448"/>
            <w:vAlign w:val="top"/>
          </w:tcPr>
          <w:p>
            <w:pPr>
              <w:spacing w:after="0"/>
            </w:pPr>
            <w:r/>
            <w:r>
              <w:rPr>
                <w:rFonts w:ascii="Aptos" w:hAnsi="Aptos"/>
                <w:b w:val="0"/>
                <w:color w:val="303841"/>
                <w:sz w:val="16"/>
              </w:rPr>
              <w:t>0.97%</w:t>
            </w:r>
          </w:p>
        </w:tc>
        <w:tc>
          <w:tcPr>
            <w:tcW w:type="dxa" w:w="2448"/>
            <w:vAlign w:val="top"/>
          </w:tcPr>
          <w:p>
            <w:pPr>
              <w:spacing w:after="0"/>
            </w:pPr>
            <w:r/>
            <w:r>
              <w:rPr>
                <w:rFonts w:ascii="Aptos" w:hAnsi="Aptos"/>
                <w:b w:val="0"/>
                <w:color w:val="303841"/>
                <w:sz w:val="16"/>
              </w:rPr>
              <w:t>100.00%</w:t>
            </w:r>
          </w:p>
        </w:tc>
        <w:tc>
          <w:tcPr>
            <w:tcW w:type="dxa" w:w="2448"/>
            <w:vAlign w:val="top"/>
          </w:tcPr>
          <w:p>
            <w:pPr>
              <w:spacing w:after="0"/>
            </w:pPr>
            <w:r/>
            <w:r>
              <w:rPr>
                <w:rFonts w:ascii="Aptos" w:hAnsi="Aptos"/>
                <w:b w:val="0"/>
                <w:color w:val="303841"/>
                <w:sz w:val="16"/>
              </w:rPr>
              <w:t>1.92%</w:t>
            </w:r>
          </w:p>
        </w:tc>
      </w:tr>
      <w:tr>
        <w:tc>
          <w:tcPr>
            <w:tcW w:type="dxa" w:w="2160"/>
            <w:vAlign w:val="top"/>
          </w:tcPr>
          <w:p>
            <w:pPr>
              <w:spacing w:after="0"/>
            </w:pPr>
            <w:r/>
            <w:r>
              <w:rPr>
                <w:rFonts w:ascii="Aptos" w:hAnsi="Aptos"/>
                <w:b w:val="0"/>
                <w:color w:val="303841"/>
                <w:sz w:val="16"/>
              </w:rPr>
              <w:t>0.10</w:t>
            </w:r>
          </w:p>
        </w:tc>
        <w:tc>
          <w:tcPr>
            <w:tcW w:type="dxa" w:w="2448"/>
            <w:vAlign w:val="top"/>
          </w:tcPr>
          <w:p>
            <w:pPr>
              <w:spacing w:after="0"/>
            </w:pPr>
            <w:r/>
            <w:r>
              <w:rPr>
                <w:rFonts w:ascii="Aptos" w:hAnsi="Aptos"/>
                <w:b w:val="0"/>
                <w:color w:val="303841"/>
                <w:sz w:val="16"/>
              </w:rPr>
              <w:t>0.97%</w:t>
            </w:r>
          </w:p>
        </w:tc>
        <w:tc>
          <w:tcPr>
            <w:tcW w:type="dxa" w:w="2448"/>
            <w:vAlign w:val="top"/>
          </w:tcPr>
          <w:p>
            <w:pPr>
              <w:spacing w:after="0"/>
            </w:pPr>
            <w:r/>
            <w:r>
              <w:rPr>
                <w:rFonts w:ascii="Aptos" w:hAnsi="Aptos"/>
                <w:b w:val="0"/>
                <w:color w:val="303841"/>
                <w:sz w:val="16"/>
              </w:rPr>
              <w:t>100.00%</w:t>
            </w:r>
          </w:p>
        </w:tc>
        <w:tc>
          <w:tcPr>
            <w:tcW w:type="dxa" w:w="2448"/>
            <w:vAlign w:val="top"/>
          </w:tcPr>
          <w:p>
            <w:pPr>
              <w:spacing w:after="0"/>
            </w:pPr>
            <w:r/>
            <w:r>
              <w:rPr>
                <w:rFonts w:ascii="Aptos" w:hAnsi="Aptos"/>
                <w:b w:val="0"/>
                <w:color w:val="303841"/>
                <w:sz w:val="16"/>
              </w:rPr>
              <w:t>1.91%</w:t>
            </w:r>
          </w:p>
        </w:tc>
      </w:tr>
      <w:tr>
        <w:tc>
          <w:tcPr>
            <w:tcW w:type="dxa" w:w="2160"/>
            <w:vAlign w:val="top"/>
          </w:tcPr>
          <w:p>
            <w:pPr>
              <w:spacing w:after="0"/>
            </w:pPr>
            <w:r/>
            <w:r>
              <w:rPr>
                <w:rFonts w:ascii="Aptos" w:hAnsi="Aptos"/>
                <w:b w:val="0"/>
                <w:color w:val="303841"/>
                <w:sz w:val="16"/>
              </w:rPr>
              <w:t>0.05</w:t>
            </w:r>
          </w:p>
        </w:tc>
        <w:tc>
          <w:tcPr>
            <w:tcW w:type="dxa" w:w="2448"/>
            <w:vAlign w:val="top"/>
          </w:tcPr>
          <w:p>
            <w:pPr>
              <w:spacing w:after="0"/>
            </w:pPr>
            <w:r/>
            <w:r>
              <w:rPr>
                <w:rFonts w:ascii="Aptos" w:hAnsi="Aptos"/>
                <w:b w:val="0"/>
                <w:color w:val="303841"/>
                <w:sz w:val="16"/>
              </w:rPr>
              <w:t>0.97%</w:t>
            </w:r>
          </w:p>
        </w:tc>
        <w:tc>
          <w:tcPr>
            <w:tcW w:type="dxa" w:w="2448"/>
            <w:vAlign w:val="top"/>
          </w:tcPr>
          <w:p>
            <w:pPr>
              <w:spacing w:after="0"/>
            </w:pPr>
            <w:r/>
            <w:r>
              <w:rPr>
                <w:rFonts w:ascii="Aptos" w:hAnsi="Aptos"/>
                <w:b w:val="0"/>
                <w:color w:val="303841"/>
                <w:sz w:val="16"/>
              </w:rPr>
              <w:t>100.00%</w:t>
            </w:r>
          </w:p>
        </w:tc>
        <w:tc>
          <w:tcPr>
            <w:tcW w:type="dxa" w:w="2448"/>
            <w:vAlign w:val="top"/>
          </w:tcPr>
          <w:p>
            <w:pPr>
              <w:spacing w:after="0"/>
            </w:pPr>
            <w:r/>
            <w:r>
              <w:rPr>
                <w:rFonts w:ascii="Aptos" w:hAnsi="Aptos"/>
                <w:b w:val="0"/>
                <w:color w:val="303841"/>
                <w:sz w:val="16"/>
              </w:rPr>
              <w:t>1.91%</w:t>
            </w:r>
          </w:p>
        </w:tc>
      </w:tr>
      <w:tr>
        <w:tc>
          <w:tcPr>
            <w:tcW w:type="dxa" w:w="2160"/>
            <w:vAlign w:val="top"/>
          </w:tcPr>
          <w:p>
            <w:pPr>
              <w:spacing w:after="0"/>
            </w:pPr>
            <w:r/>
            <w:r>
              <w:rPr>
                <w:rFonts w:ascii="Aptos" w:hAnsi="Aptos"/>
                <w:b w:val="0"/>
                <w:color w:val="303841"/>
                <w:sz w:val="16"/>
              </w:rPr>
              <w:t>0.02</w:t>
            </w:r>
          </w:p>
        </w:tc>
        <w:tc>
          <w:tcPr>
            <w:tcW w:type="dxa" w:w="2448"/>
            <w:vAlign w:val="top"/>
          </w:tcPr>
          <w:p>
            <w:pPr>
              <w:spacing w:after="0"/>
            </w:pPr>
            <w:r/>
            <w:r>
              <w:rPr>
                <w:rFonts w:ascii="Aptos" w:hAnsi="Aptos"/>
                <w:b w:val="0"/>
                <w:color w:val="303841"/>
                <w:sz w:val="16"/>
              </w:rPr>
              <w:t>0.97%</w:t>
            </w:r>
          </w:p>
        </w:tc>
        <w:tc>
          <w:tcPr>
            <w:tcW w:type="dxa" w:w="2448"/>
            <w:vAlign w:val="top"/>
          </w:tcPr>
          <w:p>
            <w:pPr>
              <w:spacing w:after="0"/>
            </w:pPr>
            <w:r/>
            <w:r>
              <w:rPr>
                <w:rFonts w:ascii="Aptos" w:hAnsi="Aptos"/>
                <w:b w:val="0"/>
                <w:color w:val="303841"/>
                <w:sz w:val="16"/>
              </w:rPr>
              <w:t>100.00%</w:t>
            </w:r>
          </w:p>
        </w:tc>
        <w:tc>
          <w:tcPr>
            <w:tcW w:type="dxa" w:w="2448"/>
            <w:vAlign w:val="top"/>
          </w:tcPr>
          <w:p>
            <w:pPr>
              <w:spacing w:after="0"/>
            </w:pPr>
            <w:r/>
            <w:r>
              <w:rPr>
                <w:rFonts w:ascii="Aptos" w:hAnsi="Aptos"/>
                <w:b w:val="0"/>
                <w:color w:val="303841"/>
                <w:sz w:val="16"/>
              </w:rPr>
              <w:t>1.91%</w:t>
            </w:r>
          </w:p>
        </w:tc>
      </w:tr>
      <w:tr>
        <w:tc>
          <w:tcPr>
            <w:tcW w:type="dxa" w:w="2160"/>
            <w:vAlign w:val="top"/>
          </w:tcPr>
          <w:p>
            <w:pPr>
              <w:spacing w:after="0"/>
            </w:pPr>
            <w:r/>
            <w:r>
              <w:rPr>
                <w:rFonts w:ascii="Aptos" w:hAnsi="Aptos"/>
                <w:b w:val="0"/>
                <w:color w:val="303841"/>
                <w:sz w:val="16"/>
              </w:rPr>
              <w:t>0.01</w:t>
            </w:r>
          </w:p>
        </w:tc>
        <w:tc>
          <w:tcPr>
            <w:tcW w:type="dxa" w:w="2448"/>
            <w:vAlign w:val="top"/>
          </w:tcPr>
          <w:p>
            <w:pPr>
              <w:spacing w:after="0"/>
            </w:pPr>
            <w:r/>
            <w:r>
              <w:rPr>
                <w:rFonts w:ascii="Aptos" w:hAnsi="Aptos"/>
                <w:b w:val="0"/>
                <w:color w:val="303841"/>
                <w:sz w:val="16"/>
              </w:rPr>
              <w:t>0.97%</w:t>
            </w:r>
          </w:p>
        </w:tc>
        <w:tc>
          <w:tcPr>
            <w:tcW w:type="dxa" w:w="2448"/>
            <w:vAlign w:val="top"/>
          </w:tcPr>
          <w:p>
            <w:pPr>
              <w:spacing w:after="0"/>
            </w:pPr>
            <w:r/>
            <w:r>
              <w:rPr>
                <w:rFonts w:ascii="Aptos" w:hAnsi="Aptos"/>
                <w:b w:val="0"/>
                <w:color w:val="303841"/>
                <w:sz w:val="16"/>
              </w:rPr>
              <w:t>100.00%</w:t>
            </w:r>
          </w:p>
        </w:tc>
        <w:tc>
          <w:tcPr>
            <w:tcW w:type="dxa" w:w="2448"/>
            <w:vAlign w:val="top"/>
          </w:tcPr>
          <w:p>
            <w:pPr>
              <w:spacing w:after="0"/>
            </w:pPr>
            <w:r/>
            <w:r>
              <w:rPr>
                <w:rFonts w:ascii="Aptos" w:hAnsi="Aptos"/>
                <w:b w:val="0"/>
                <w:color w:val="303841"/>
                <w:sz w:val="16"/>
              </w:rPr>
              <w:t>1.91%</w:t>
            </w:r>
          </w:p>
        </w:tc>
      </w:tr>
    </w:tbl>
    <w:p>
      <w:pPr>
        <w:spacing w:after="0"/>
      </w:pPr>
    </w:p>
    <w:p>
      <w:r>
        <w:t>Lowering the threshold increases recall, reaching 100% at 0.30 and below, but precision remains close to the underlying positive-class rate. Threshold adjustment alone therefore does not create a useful precision-recall balance for this baseline.</w:t>
      </w:r>
    </w:p>
    <w:p>
      <w:r>
        <w:br w:type="page"/>
      </w:r>
    </w:p>
    <w:p>
      <w:pPr>
        <w:pStyle w:val="Heading1"/>
      </w:pPr>
      <w:r>
        <w:t>11. Findings and Interpretation</w:t>
      </w:r>
    </w:p>
    <w:p>
      <w:pPr>
        <w:spacing w:after="80"/>
      </w:pPr>
      <w:r>
        <w:rPr>
          <w:b/>
        </w:rPr>
        <w:t xml:space="preserve">Finding 1 — The analytical problem is well-defined. </w:t>
      </w:r>
      <w:r>
        <w:t>Transactional data was transformed into a customer-level prediction problem with a clear temporal boundary and a target based on future observed behavior.</w:t>
      </w:r>
    </w:p>
    <w:p>
      <w:pPr>
        <w:spacing w:after="80"/>
      </w:pPr>
      <w:r>
        <w:rPr>
          <w:b/>
        </w:rPr>
        <w:t xml:space="preserve">Finding 2 — Repeat purchase is rare. </w:t>
      </w:r>
      <w:r>
        <w:t>Only 601 of 62,145 historical customers repeated during the future window, producing a 0.97% positive-class rate. This makes class imbalance central to the analysis.</w:t>
      </w:r>
    </w:p>
    <w:p>
      <w:pPr>
        <w:spacing w:after="80"/>
      </w:pPr>
      <w:r>
        <w:rPr>
          <w:b/>
        </w:rPr>
        <w:t xml:space="preserve">Finding 3 — The initial behavioral features contain some signal. </w:t>
      </w:r>
      <w:r>
        <w:t>The Logistic Regression baseline produced ROC-AUC of 0.618 and Average Precision of 2.18%, indicating separation above an uninformative ranking while remaining weak as a practical targeting model.</w:t>
      </w:r>
    </w:p>
    <w:p>
      <w:pPr>
        <w:spacing w:after="80"/>
      </w:pPr>
      <w:r>
        <w:rPr>
          <w:b/>
        </w:rPr>
        <w:t xml:space="preserve">Finding 4 — The baseline has a precision problem. </w:t>
      </w:r>
      <w:r>
        <w:t>At the default threshold, recall is 56.67% but precision is only 1.36%. Many customers flagged by the model are not observed repeat purchasers.</w:t>
      </w:r>
    </w:p>
    <w:p>
      <w:pPr>
        <w:spacing w:after="80"/>
      </w:pPr>
      <w:r>
        <w:rPr>
          <w:b/>
        </w:rPr>
        <w:t xml:space="preserve">Finding 5 — Threshold tuning does not solve the underlying limitation. </w:t>
      </w:r>
      <w:r>
        <w:t>Lower thresholds increase recall substantially, but precision remains extremely low. This suggests that better features and model comparison are more important next steps than threshold tuning alone.</w:t>
      </w:r>
    </w:p>
    <w:p>
      <w:pPr>
        <w:spacing w:after="80"/>
      </w:pPr>
      <w:r>
        <w:rPr>
          <w:b/>
        </w:rPr>
        <w:t xml:space="preserve">Finding 6 — Feature limitations are visible in the source population. </w:t>
      </w:r>
      <w:r>
        <w:t>Frequency is heavily concentrated at one order, while monetary value and AOV are strongly right-skewed. These characteristics constrain what a small RFM-style feature set can learn.</w:t>
      </w:r>
    </w:p>
    <w:tbl>
      <w:tblPr>
        <w:tblW w:type="auto" w:w="0"/>
        <w:jc w:val="center"/>
        <w:tblLook w:firstColumn="1" w:firstRow="1" w:lastColumn="0" w:lastRow="0" w:noHBand="0" w:noVBand="1" w:val="04A0"/>
      </w:tblPr>
      <w:tblGrid>
        <w:gridCol w:w="10080"/>
      </w:tblGrid>
      <w:tr>
        <w:tc>
          <w:tcPr>
            <w:tcW w:type="dxa" w:w="10080"/>
            <w:shd w:fill="F1F5F9"/>
          </w:tcPr>
          <w:p>
            <w:pPr>
              <w:spacing w:after="0"/>
              <w:ind w:left="40"/>
            </w:pPr>
            <w:r/>
            <w:r>
              <w:rPr>
                <w:b/>
                <w:color w:val="17202A"/>
                <w:sz w:val="19"/>
              </w:rPr>
              <w:t>The correct interpretation is not that the model is production-ready. The project establishes a valid baseline, quantifies its limitations, and identifies the specific modeling weaknesses that should be addressed next.</w:t>
            </w:r>
          </w:p>
        </w:tc>
      </w:tr>
    </w:tbl>
    <w:p>
      <w:pPr>
        <w:spacing w:after="0"/>
      </w:pPr>
    </w:p>
    <w:p>
      <w:pPr>
        <w:pStyle w:val="Heading1"/>
      </w:pPr>
      <w:r>
        <w:t>12. Limitations</w:t>
      </w:r>
    </w:p>
    <w:p>
      <w:pPr>
        <w:pStyle w:val="ListBullet"/>
        <w:spacing w:after="60"/>
      </w:pPr>
      <w:r>
        <w:t>Olist is a historical Brazilian e-commerce transaction dataset rather than a subscription business.</w:t>
      </w:r>
    </w:p>
    <w:p>
      <w:pPr>
        <w:pStyle w:val="ListBullet"/>
        <w:spacing w:after="60"/>
      </w:pPr>
      <w:r>
        <w:t>Repeat purchase is an observed future behavior during a defined window, not contractual churn.</w:t>
      </w:r>
    </w:p>
    <w:p>
      <w:pPr>
        <w:pStyle w:val="ListBullet"/>
        <w:spacing w:after="60"/>
      </w:pPr>
      <w:r>
        <w:t>Most historical customers have only one qualifying purchase, limiting frequency variation.</w:t>
      </w:r>
    </w:p>
    <w:p>
      <w:pPr>
        <w:pStyle w:val="ListBullet"/>
        <w:spacing w:after="60"/>
      </w:pPr>
      <w:r>
        <w:t>The available dataset covers a finite historical period, and October 2018 is incomplete.</w:t>
      </w:r>
    </w:p>
    <w:p>
      <w:pPr>
        <w:pStyle w:val="ListBullet"/>
        <w:spacing w:after="60"/>
      </w:pPr>
      <w:r>
        <w:t>RFM and AOV do not capture every behavioral factor that may influence future purchasing.</w:t>
      </w:r>
    </w:p>
    <w:p>
      <w:pPr>
        <w:pStyle w:val="ListBullet"/>
        <w:spacing w:after="60"/>
      </w:pPr>
      <w:r>
        <w:t>The severe class imbalance makes naive accuracy misleading.</w:t>
      </w:r>
    </w:p>
    <w:p>
      <w:pPr>
        <w:pStyle w:val="ListBullet"/>
        <w:spacing w:after="60"/>
      </w:pPr>
      <w:r>
        <w:t>The baseline model has very low precision, limiting its suitability for direct customer targeting.</w:t>
      </w:r>
    </w:p>
    <w:p>
      <w:pPr>
        <w:pStyle w:val="ListBullet"/>
        <w:spacing w:after="60"/>
      </w:pPr>
      <w:r>
        <w:t>The model describes associations in the available data and does not establish causality.</w:t>
      </w:r>
    </w:p>
    <w:p>
      <w:pPr>
        <w:pStyle w:val="ListBullet"/>
        <w:spacing w:after="60"/>
      </w:pPr>
      <w:r>
        <w:t>Predicted probabilities are estimates of observed patterns, not guarantees of future customer behavior.</w:t>
      </w:r>
    </w:p>
    <w:p>
      <w:r>
        <w:t>These limitations are treated as part of the project findings rather than hidden from the reader.</w:t>
      </w:r>
    </w:p>
    <w:p>
      <w:pPr>
        <w:pStyle w:val="Heading1"/>
      </w:pPr>
      <w:r>
        <w:t>13. Future Development</w:t>
      </w:r>
    </w:p>
    <w:p>
      <w:r>
        <w:t>The current repository intentionally stops at an interpretable baseline. The following extensions are documented as future work rather than presented as implemented results.</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top"/>
            <w:shd w:fill="334155"/>
          </w:tcPr>
          <w:p>
            <w:pPr>
              <w:spacing w:after="0"/>
            </w:pPr>
            <w:r/>
            <w:r>
              <w:rPr>
                <w:rFonts w:ascii="Aptos" w:hAnsi="Aptos"/>
                <w:b/>
                <w:color w:val="FFFFFF"/>
                <w:sz w:val="17"/>
              </w:rPr>
              <w:t>Area</w:t>
            </w:r>
          </w:p>
        </w:tc>
        <w:tc>
          <w:tcPr>
            <w:tcW w:type="dxa" w:w="4680"/>
            <w:vAlign w:val="top"/>
            <w:shd w:fill="334155"/>
          </w:tcPr>
          <w:p>
            <w:pPr>
              <w:spacing w:after="0"/>
            </w:pPr>
            <w:r/>
            <w:r>
              <w:rPr>
                <w:rFonts w:ascii="Aptos" w:hAnsi="Aptos"/>
                <w:b/>
                <w:color w:val="FFFFFF"/>
                <w:sz w:val="17"/>
              </w:rPr>
              <w:t>Potential extension</w:t>
            </w:r>
          </w:p>
        </w:tc>
        <w:tc>
          <w:tcPr>
            <w:tcW w:type="dxa" w:w="2520"/>
            <w:vAlign w:val="top"/>
            <w:shd w:fill="334155"/>
          </w:tcPr>
          <w:p>
            <w:pPr>
              <w:spacing w:after="0"/>
            </w:pPr>
            <w:r/>
            <w:r>
              <w:rPr>
                <w:rFonts w:ascii="Aptos" w:hAnsi="Aptos"/>
                <w:b/>
                <w:color w:val="FFFFFF"/>
                <w:sz w:val="17"/>
              </w:rPr>
              <w:t>Reason</w:t>
            </w:r>
          </w:p>
        </w:tc>
      </w:tr>
      <w:tr>
        <w:tc>
          <w:tcPr>
            <w:tcW w:type="dxa" w:w="1944"/>
            <w:vAlign w:val="top"/>
          </w:tcPr>
          <w:p>
            <w:pPr>
              <w:spacing w:after="0"/>
            </w:pPr>
            <w:r/>
            <w:r>
              <w:rPr>
                <w:rFonts w:ascii="Aptos" w:hAnsi="Aptos"/>
                <w:b w:val="0"/>
                <w:color w:val="303841"/>
                <w:sz w:val="16"/>
              </w:rPr>
              <w:t>Feature engineering</w:t>
            </w:r>
          </w:p>
        </w:tc>
        <w:tc>
          <w:tcPr>
            <w:tcW w:type="dxa" w:w="4680"/>
            <w:vAlign w:val="top"/>
          </w:tcPr>
          <w:p>
            <w:pPr>
              <w:spacing w:after="0"/>
            </w:pPr>
            <w:r/>
            <w:r>
              <w:rPr>
                <w:rFonts w:ascii="Aptos" w:hAnsi="Aptos"/>
                <w:b w:val="0"/>
                <w:color w:val="303841"/>
                <w:sz w:val="16"/>
              </w:rPr>
              <w:t>Log transformations for monetary, frequency and AOV</w:t>
            </w:r>
          </w:p>
        </w:tc>
        <w:tc>
          <w:tcPr>
            <w:tcW w:type="dxa" w:w="2520"/>
            <w:vAlign w:val="top"/>
          </w:tcPr>
          <w:p>
            <w:pPr>
              <w:spacing w:after="0"/>
            </w:pPr>
            <w:r/>
            <w:r>
              <w:rPr>
                <w:rFonts w:ascii="Aptos" w:hAnsi="Aptos"/>
                <w:b w:val="0"/>
                <w:color w:val="303841"/>
                <w:sz w:val="16"/>
              </w:rPr>
              <w:t>Address strong right-skew</w:t>
            </w:r>
          </w:p>
        </w:tc>
      </w:tr>
      <w:tr>
        <w:tc>
          <w:tcPr>
            <w:tcW w:type="dxa" w:w="1944"/>
            <w:vAlign w:val="top"/>
          </w:tcPr>
          <w:p>
            <w:pPr>
              <w:spacing w:after="0"/>
            </w:pPr>
            <w:r/>
            <w:r>
              <w:rPr>
                <w:rFonts w:ascii="Aptos" w:hAnsi="Aptos"/>
                <w:b w:val="0"/>
                <w:color w:val="303841"/>
                <w:sz w:val="16"/>
              </w:rPr>
              <w:t>Behavioral features</w:t>
            </w:r>
          </w:p>
        </w:tc>
        <w:tc>
          <w:tcPr>
            <w:tcW w:type="dxa" w:w="4680"/>
            <w:vAlign w:val="top"/>
          </w:tcPr>
          <w:p>
            <w:pPr>
              <w:spacing w:after="0"/>
            </w:pPr>
            <w:r/>
            <w:r>
              <w:rPr>
                <w:rFonts w:ascii="Aptos" w:hAnsi="Aptos"/>
                <w:b w:val="0"/>
                <w:color w:val="303841"/>
                <w:sz w:val="16"/>
              </w:rPr>
              <w:t>Tenure, category diversity, average time between purchases</w:t>
            </w:r>
          </w:p>
        </w:tc>
        <w:tc>
          <w:tcPr>
            <w:tcW w:type="dxa" w:w="2520"/>
            <w:vAlign w:val="top"/>
          </w:tcPr>
          <w:p>
            <w:pPr>
              <w:spacing w:after="0"/>
            </w:pPr>
            <w:r/>
            <w:r>
              <w:rPr>
                <w:rFonts w:ascii="Aptos" w:hAnsi="Aptos"/>
                <w:b w:val="0"/>
                <w:color w:val="303841"/>
                <w:sz w:val="16"/>
              </w:rPr>
              <w:t>Capture behavior beyond RFM</w:t>
            </w:r>
          </w:p>
        </w:tc>
      </w:tr>
      <w:tr>
        <w:tc>
          <w:tcPr>
            <w:tcW w:type="dxa" w:w="1944"/>
            <w:vAlign w:val="top"/>
          </w:tcPr>
          <w:p>
            <w:pPr>
              <w:spacing w:after="0"/>
            </w:pPr>
            <w:r/>
            <w:r>
              <w:rPr>
                <w:rFonts w:ascii="Aptos" w:hAnsi="Aptos"/>
                <w:b w:val="0"/>
                <w:color w:val="303841"/>
                <w:sz w:val="16"/>
              </w:rPr>
              <w:t>Model comparison</w:t>
            </w:r>
          </w:p>
        </w:tc>
        <w:tc>
          <w:tcPr>
            <w:tcW w:type="dxa" w:w="4680"/>
            <w:vAlign w:val="top"/>
          </w:tcPr>
          <w:p>
            <w:pPr>
              <w:spacing w:after="0"/>
            </w:pPr>
            <w:r/>
            <w:r>
              <w:rPr>
                <w:rFonts w:ascii="Aptos" w:hAnsi="Aptos"/>
                <w:b w:val="0"/>
                <w:color w:val="303841"/>
                <w:sz w:val="16"/>
              </w:rPr>
              <w:t>Random Forest and XGBoost</w:t>
            </w:r>
          </w:p>
        </w:tc>
        <w:tc>
          <w:tcPr>
            <w:tcW w:type="dxa" w:w="2520"/>
            <w:vAlign w:val="top"/>
          </w:tcPr>
          <w:p>
            <w:pPr>
              <w:spacing w:after="0"/>
            </w:pPr>
            <w:r/>
            <w:r>
              <w:rPr>
                <w:rFonts w:ascii="Aptos" w:hAnsi="Aptos"/>
                <w:b w:val="0"/>
                <w:color w:val="303841"/>
                <w:sz w:val="16"/>
              </w:rPr>
              <w:t>Test nonlinear relationships</w:t>
            </w:r>
          </w:p>
        </w:tc>
      </w:tr>
      <w:tr>
        <w:tc>
          <w:tcPr>
            <w:tcW w:type="dxa" w:w="1944"/>
            <w:vAlign w:val="top"/>
          </w:tcPr>
          <w:p>
            <w:pPr>
              <w:spacing w:after="0"/>
            </w:pPr>
            <w:r/>
            <w:r>
              <w:rPr>
                <w:rFonts w:ascii="Aptos" w:hAnsi="Aptos"/>
                <w:b w:val="0"/>
                <w:color w:val="303841"/>
                <w:sz w:val="16"/>
              </w:rPr>
              <w:t>Error analysis</w:t>
            </w:r>
          </w:p>
        </w:tc>
        <w:tc>
          <w:tcPr>
            <w:tcW w:type="dxa" w:w="4680"/>
            <w:vAlign w:val="top"/>
          </w:tcPr>
          <w:p>
            <w:pPr>
              <w:spacing w:after="0"/>
            </w:pPr>
            <w:r/>
            <w:r>
              <w:rPr>
                <w:rFonts w:ascii="Aptos" w:hAnsi="Aptos"/>
                <w:b w:val="0"/>
                <w:color w:val="303841"/>
                <w:sz w:val="16"/>
              </w:rPr>
              <w:t>False-positive and false-negative investigation</w:t>
            </w:r>
          </w:p>
        </w:tc>
        <w:tc>
          <w:tcPr>
            <w:tcW w:type="dxa" w:w="2520"/>
            <w:vAlign w:val="top"/>
          </w:tcPr>
          <w:p>
            <w:pPr>
              <w:spacing w:after="0"/>
            </w:pPr>
            <w:r/>
            <w:r>
              <w:rPr>
                <w:rFonts w:ascii="Aptos" w:hAnsi="Aptos"/>
                <w:b w:val="0"/>
                <w:color w:val="303841"/>
                <w:sz w:val="16"/>
              </w:rPr>
              <w:t>Understand where the baseline fails</w:t>
            </w:r>
          </w:p>
        </w:tc>
      </w:tr>
      <w:tr>
        <w:tc>
          <w:tcPr>
            <w:tcW w:type="dxa" w:w="1944"/>
            <w:vAlign w:val="top"/>
          </w:tcPr>
          <w:p>
            <w:pPr>
              <w:spacing w:after="0"/>
            </w:pPr>
            <w:r/>
            <w:r>
              <w:rPr>
                <w:rFonts w:ascii="Aptos" w:hAnsi="Aptos"/>
                <w:b w:val="0"/>
                <w:color w:val="303841"/>
                <w:sz w:val="16"/>
              </w:rPr>
              <w:t>Decision threshold</w:t>
            </w:r>
          </w:p>
        </w:tc>
        <w:tc>
          <w:tcPr>
            <w:tcW w:type="dxa" w:w="4680"/>
            <w:vAlign w:val="top"/>
          </w:tcPr>
          <w:p>
            <w:pPr>
              <w:spacing w:after="0"/>
            </w:pPr>
            <w:r/>
            <w:r>
              <w:rPr>
                <w:rFonts w:ascii="Aptos" w:hAnsi="Aptos"/>
                <w:b w:val="0"/>
                <w:color w:val="303841"/>
                <w:sz w:val="16"/>
              </w:rPr>
              <w:t>Business-specific threshold selection</w:t>
            </w:r>
          </w:p>
        </w:tc>
        <w:tc>
          <w:tcPr>
            <w:tcW w:type="dxa" w:w="2520"/>
            <w:vAlign w:val="top"/>
          </w:tcPr>
          <w:p>
            <w:pPr>
              <w:spacing w:after="0"/>
            </w:pPr>
            <w:r/>
            <w:r>
              <w:rPr>
                <w:rFonts w:ascii="Aptos" w:hAnsi="Aptos"/>
                <w:b w:val="0"/>
                <w:color w:val="303841"/>
                <w:sz w:val="16"/>
              </w:rPr>
              <w:t>Align flags with operational cost</w:t>
            </w:r>
          </w:p>
        </w:tc>
      </w:tr>
      <w:tr>
        <w:tc>
          <w:tcPr>
            <w:tcW w:type="dxa" w:w="1944"/>
            <w:vAlign w:val="top"/>
          </w:tcPr>
          <w:p>
            <w:pPr>
              <w:spacing w:after="0"/>
            </w:pPr>
            <w:r/>
            <w:r>
              <w:rPr>
                <w:rFonts w:ascii="Aptos" w:hAnsi="Aptos"/>
                <w:b w:val="0"/>
                <w:color w:val="303841"/>
                <w:sz w:val="16"/>
              </w:rPr>
              <w:t>Customer analytics</w:t>
            </w:r>
          </w:p>
        </w:tc>
        <w:tc>
          <w:tcPr>
            <w:tcW w:type="dxa" w:w="4680"/>
            <w:vAlign w:val="top"/>
          </w:tcPr>
          <w:p>
            <w:pPr>
              <w:spacing w:after="0"/>
            </w:pPr>
            <w:r/>
            <w:r>
              <w:rPr>
                <w:rFonts w:ascii="Aptos" w:hAnsi="Aptos"/>
                <w:b w:val="0"/>
                <w:color w:val="303841"/>
                <w:sz w:val="16"/>
              </w:rPr>
              <w:t>Purchase propensity and segmentation</w:t>
            </w:r>
          </w:p>
        </w:tc>
        <w:tc>
          <w:tcPr>
            <w:tcW w:type="dxa" w:w="2520"/>
            <w:vAlign w:val="top"/>
          </w:tcPr>
          <w:p>
            <w:pPr>
              <w:spacing w:after="0"/>
            </w:pPr>
            <w:r/>
            <w:r>
              <w:rPr>
                <w:rFonts w:ascii="Aptos" w:hAnsi="Aptos"/>
                <w:b w:val="0"/>
                <w:color w:val="303841"/>
                <w:sz w:val="16"/>
              </w:rPr>
              <w:t>Broaden customer intelligence use cases</w:t>
            </w:r>
          </w:p>
        </w:tc>
      </w:tr>
    </w:tbl>
    <w:p>
      <w:pPr>
        <w:spacing w:after="0"/>
      </w:pPr>
    </w:p>
    <w:p>
      <w:r>
        <w:t>The longer-term direction is to combine repeat-purchase prediction with customer segmentation and broader purchase-propensity analysis, while preserving the same emphasis on temporal validity and explainability.</w:t>
      </w:r>
    </w:p>
    <w:p>
      <w:r>
        <w:br w:type="page"/>
      </w:r>
    </w:p>
    <w:p>
      <w:pPr>
        <w:pStyle w:val="Heading1"/>
      </w:pPr>
      <w:r>
        <w:t>14. Reproducibility and Repository Structure</w:t>
      </w:r>
    </w:p>
    <w:p>
      <w:r>
        <w:t>The notebooks use repository-relative paths rather than machine-specific absolute paths. The workflow is intentionally split into data preparation and model training.</w:t>
      </w:r>
    </w:p>
    <w:p>
      <w:pPr>
        <w:spacing w:after="120"/>
        <w:ind w:left="288"/>
      </w:pPr>
      <w:r>
        <w:rPr>
          <w:rFonts w:ascii="Consolas" w:hAnsi="Consolas"/>
          <w:color w:val="374151"/>
          <w:sz w:val="17"/>
        </w:rPr>
        <w:t>01_Customer_Data_Preparation.ipynb</w:t>
        <w:br/>
        <w:t xml:space="preserve">        ↓</w:t>
        <w:br/>
        <w:t>data/processed/modeling_data.csv</w:t>
        <w:br/>
        <w:t xml:space="preserve">        ↓</w:t>
        <w:br/>
        <w:t>02_Model_Training_&amp;_Evaluation.ipynb</w:t>
      </w:r>
    </w:p>
    <w:p>
      <w:r>
        <w:t>The first notebook creates the final customer-level modeling dataset. The second notebook consumes that exported dataset for model training and evaluation.</w:t>
      </w:r>
    </w:p>
    <w:p>
      <w:pPr>
        <w:pStyle w:val="Heading2"/>
      </w:pPr>
      <w:r>
        <w:t>Repository structure</w:t>
      </w:r>
    </w:p>
    <w:p>
      <w:pPr>
        <w:spacing w:after="120"/>
        <w:ind w:left="288"/>
      </w:pPr>
      <w:r>
        <w:rPr>
          <w:rFonts w:ascii="Consolas" w:hAnsi="Consolas"/>
          <w:color w:val="374151"/>
          <w:sz w:val="17"/>
        </w:rPr>
        <w:t>OLIST-Customer-Purchase-Analytics/</w:t>
        <w:br/>
        <w:t>├── data/</w:t>
        <w:br/>
        <w:t>│   ├── cleaned/</w:t>
        <w:br/>
        <w:t>│   ├── database/</w:t>
        <w:br/>
        <w:t>│   └── processed/</w:t>
        <w:br/>
        <w:t>│       └── modeling_data.csv</w:t>
        <w:br/>
        <w:t>├── notebooks/</w:t>
        <w:br/>
        <w:t>│   ├── 01_Customer_Data_Preparation.ipynb</w:t>
        <w:br/>
        <w:t>│   ├── 02_Model_Training_&amp;_Evaluation.ipynb</w:t>
        <w:br/>
        <w:t>│   └── README.md</w:t>
        <w:br/>
        <w:t>├── grain_level.png</w:t>
        <w:br/>
        <w:t>├── OLIST_ER_Diagram.png</w:t>
        <w:br/>
        <w:t>├── README.md</w:t>
        <w:br/>
        <w:t>└── requirements.txt</w:t>
      </w:r>
    </w:p>
    <w:p>
      <w:r>
        <w:t>Core technologies: Python, pandas, NumPy, Matplotlib, Seaborn, scikit-learn, SQLite, Jupyter Notebook, Git, and GitHub.</w:t>
      </w:r>
    </w:p>
    <w:p>
      <w:pPr>
        <w:pStyle w:val="Heading2"/>
      </w:pPr>
      <w:r>
        <w:t>Reproduction steps</w:t>
      </w:r>
    </w:p>
    <w:p>
      <w:pPr>
        <w:pStyle w:val="ListNumber"/>
      </w:pPr>
      <w:r>
        <w:t>Clone the repository.</w:t>
      </w:r>
    </w:p>
    <w:p>
      <w:pPr>
        <w:pStyle w:val="ListNumber"/>
      </w:pPr>
      <w:r>
        <w:t>Create and activate a Python virtual environment.</w:t>
      </w:r>
    </w:p>
    <w:p>
      <w:pPr>
        <w:pStyle w:val="ListNumber"/>
      </w:pPr>
      <w:r>
        <w:t>Install dependencies from requirements.txt.</w:t>
      </w:r>
    </w:p>
    <w:p>
      <w:pPr>
        <w:pStyle w:val="ListNumber"/>
      </w:pPr>
      <w:r>
        <w:t>Ensure the cleaned Olist data is available under data/cleaned/.</w:t>
      </w:r>
    </w:p>
    <w:p>
      <w:pPr>
        <w:pStyle w:val="ListNumber"/>
      </w:pPr>
      <w:r>
        <w:t>Run 01_Customer_Data_Preparation.ipynb.</w:t>
      </w:r>
    </w:p>
    <w:p>
      <w:pPr>
        <w:pStyle w:val="ListNumber"/>
      </w:pPr>
      <w:r>
        <w:t>Run 02_Model_Training_&amp;_Evaluation.ipynb.</w:t>
      </w:r>
    </w:p>
    <w:p>
      <w:r>
        <w:t>The first notebook generates data/processed/modeling_data.csv, which is consumed by the modeling notebook.</w:t>
      </w:r>
    </w:p>
    <w:p>
      <w:pPr>
        <w:pStyle w:val="Heading1"/>
      </w:pPr>
      <w:r>
        <w:t>15. Technical Competencies Demonstrated</w:t>
      </w:r>
    </w:p>
    <w:tbl>
      <w:tblPr>
        <w:tblStyle w:val="TableGrid"/>
        <w:tblW w:type="auto" w:w="0"/>
        <w:jc w:val="center"/>
        <w:tblLook w:firstColumn="1" w:firstRow="1" w:lastColumn="0" w:lastRow="0" w:noHBand="0" w:noVBand="1" w:val="04A0"/>
      </w:tblPr>
      <w:tblGrid>
        <w:gridCol w:w="5040"/>
        <w:gridCol w:w="5040"/>
      </w:tblGrid>
      <w:tr>
        <w:tc>
          <w:tcPr>
            <w:tcW w:type="dxa" w:w="2232"/>
            <w:vAlign w:val="top"/>
            <w:shd w:fill="334155"/>
          </w:tcPr>
          <w:p>
            <w:pPr>
              <w:spacing w:after="0"/>
            </w:pPr>
            <w:r/>
            <w:r>
              <w:rPr>
                <w:rFonts w:ascii="Aptos" w:hAnsi="Aptos"/>
                <w:b/>
                <w:color w:val="FFFFFF"/>
                <w:sz w:val="17"/>
              </w:rPr>
              <w:t>Area</w:t>
            </w:r>
          </w:p>
        </w:tc>
        <w:tc>
          <w:tcPr>
            <w:tcW w:type="dxa" w:w="7200"/>
            <w:vAlign w:val="top"/>
            <w:shd w:fill="334155"/>
          </w:tcPr>
          <w:p>
            <w:pPr>
              <w:spacing w:after="0"/>
            </w:pPr>
            <w:r/>
            <w:r>
              <w:rPr>
                <w:rFonts w:ascii="Aptos" w:hAnsi="Aptos"/>
                <w:b/>
                <w:color w:val="FFFFFF"/>
                <w:sz w:val="17"/>
              </w:rPr>
              <w:t>Demonstrated work</w:t>
            </w:r>
          </w:p>
        </w:tc>
      </w:tr>
      <w:tr>
        <w:tc>
          <w:tcPr>
            <w:tcW w:type="dxa" w:w="2232"/>
            <w:vAlign w:val="top"/>
          </w:tcPr>
          <w:p>
            <w:pPr>
              <w:spacing w:after="0"/>
            </w:pPr>
            <w:r/>
            <w:r>
              <w:rPr>
                <w:rFonts w:ascii="Aptos" w:hAnsi="Aptos"/>
                <w:b w:val="0"/>
                <w:color w:val="303841"/>
                <w:sz w:val="16"/>
              </w:rPr>
              <w:t>Data analysis</w:t>
            </w:r>
          </w:p>
        </w:tc>
        <w:tc>
          <w:tcPr>
            <w:tcW w:type="dxa" w:w="7200"/>
            <w:vAlign w:val="top"/>
          </w:tcPr>
          <w:p>
            <w:pPr>
              <w:spacing w:after="0"/>
            </w:pPr>
            <w:r/>
            <w:r>
              <w:rPr>
                <w:rFonts w:ascii="Aptos" w:hAnsi="Aptos"/>
                <w:b w:val="0"/>
                <w:color w:val="303841"/>
                <w:sz w:val="16"/>
              </w:rPr>
              <w:t>Customer-level EDA, descriptive statistics, distributions and class-balance analysis</w:t>
            </w:r>
          </w:p>
        </w:tc>
      </w:tr>
      <w:tr>
        <w:tc>
          <w:tcPr>
            <w:tcW w:type="dxa" w:w="2232"/>
            <w:vAlign w:val="top"/>
          </w:tcPr>
          <w:p>
            <w:pPr>
              <w:spacing w:after="0"/>
            </w:pPr>
            <w:r/>
            <w:r>
              <w:rPr>
                <w:rFonts w:ascii="Aptos" w:hAnsi="Aptos"/>
                <w:b w:val="0"/>
                <w:color w:val="303841"/>
                <w:sz w:val="16"/>
              </w:rPr>
              <w:t>Data engineering</w:t>
            </w:r>
          </w:p>
        </w:tc>
        <w:tc>
          <w:tcPr>
            <w:tcW w:type="dxa" w:w="7200"/>
            <w:vAlign w:val="top"/>
          </w:tcPr>
          <w:p>
            <w:pPr>
              <w:spacing w:after="0"/>
            </w:pPr>
            <w:r/>
            <w:r>
              <w:rPr>
                <w:rFonts w:ascii="Aptos" w:hAnsi="Aptos"/>
                <w:b w:val="0"/>
                <w:color w:val="303841"/>
                <w:sz w:val="16"/>
              </w:rPr>
              <w:t>Transactional-to-customer aggregation with attention to grain</w:t>
            </w:r>
          </w:p>
        </w:tc>
      </w:tr>
      <w:tr>
        <w:tc>
          <w:tcPr>
            <w:tcW w:type="dxa" w:w="2232"/>
            <w:vAlign w:val="top"/>
          </w:tcPr>
          <w:p>
            <w:pPr>
              <w:spacing w:after="0"/>
            </w:pPr>
            <w:r/>
            <w:r>
              <w:rPr>
                <w:rFonts w:ascii="Aptos" w:hAnsi="Aptos"/>
                <w:b w:val="0"/>
                <w:color w:val="303841"/>
                <w:sz w:val="16"/>
              </w:rPr>
              <w:t>SQL / database foundations</w:t>
            </w:r>
          </w:p>
        </w:tc>
        <w:tc>
          <w:tcPr>
            <w:tcW w:type="dxa" w:w="7200"/>
            <w:vAlign w:val="top"/>
          </w:tcPr>
          <w:p>
            <w:pPr>
              <w:spacing w:after="0"/>
            </w:pPr>
            <w:r/>
            <w:r>
              <w:rPr>
                <w:rFonts w:ascii="Aptos" w:hAnsi="Aptos"/>
                <w:b w:val="0"/>
                <w:color w:val="303841"/>
                <w:sz w:val="16"/>
              </w:rPr>
              <w:t>Olist relational structure and upstream SQLite ETL foundation</w:t>
            </w:r>
          </w:p>
        </w:tc>
      </w:tr>
      <w:tr>
        <w:tc>
          <w:tcPr>
            <w:tcW w:type="dxa" w:w="2232"/>
            <w:vAlign w:val="top"/>
          </w:tcPr>
          <w:p>
            <w:pPr>
              <w:spacing w:after="0"/>
            </w:pPr>
            <w:r/>
            <w:r>
              <w:rPr>
                <w:rFonts w:ascii="Aptos" w:hAnsi="Aptos"/>
                <w:b w:val="0"/>
                <w:color w:val="303841"/>
                <w:sz w:val="16"/>
              </w:rPr>
              <w:t>Python</w:t>
            </w:r>
          </w:p>
        </w:tc>
        <w:tc>
          <w:tcPr>
            <w:tcW w:type="dxa" w:w="7200"/>
            <w:vAlign w:val="top"/>
          </w:tcPr>
          <w:p>
            <w:pPr>
              <w:spacing w:after="0"/>
            </w:pPr>
            <w:r/>
            <w:r>
              <w:rPr>
                <w:rFonts w:ascii="Aptos" w:hAnsi="Aptos"/>
                <w:b w:val="0"/>
                <w:color w:val="303841"/>
                <w:sz w:val="16"/>
              </w:rPr>
              <w:t>pandas-based preparation, feature engineering and validation</w:t>
            </w:r>
          </w:p>
        </w:tc>
      </w:tr>
      <w:tr>
        <w:tc>
          <w:tcPr>
            <w:tcW w:type="dxa" w:w="2232"/>
            <w:vAlign w:val="top"/>
          </w:tcPr>
          <w:p>
            <w:pPr>
              <w:spacing w:after="0"/>
            </w:pPr>
            <w:r/>
            <w:r>
              <w:rPr>
                <w:rFonts w:ascii="Aptos" w:hAnsi="Aptos"/>
                <w:b w:val="0"/>
                <w:color w:val="303841"/>
                <w:sz w:val="16"/>
              </w:rPr>
              <w:t>Machine learning</w:t>
            </w:r>
          </w:p>
        </w:tc>
        <w:tc>
          <w:tcPr>
            <w:tcW w:type="dxa" w:w="7200"/>
            <w:vAlign w:val="top"/>
          </w:tcPr>
          <w:p>
            <w:pPr>
              <w:spacing w:after="0"/>
            </w:pPr>
            <w:r/>
            <w:r>
              <w:rPr>
                <w:rFonts w:ascii="Aptos" w:hAnsi="Aptos"/>
                <w:b w:val="0"/>
                <w:color w:val="303841"/>
                <w:sz w:val="16"/>
              </w:rPr>
              <w:t>scikit-learn Pipeline, StandardScaler and Logistic Regression</w:t>
            </w:r>
          </w:p>
        </w:tc>
      </w:tr>
      <w:tr>
        <w:tc>
          <w:tcPr>
            <w:tcW w:type="dxa" w:w="2232"/>
            <w:vAlign w:val="top"/>
          </w:tcPr>
          <w:p>
            <w:pPr>
              <w:spacing w:after="0"/>
            </w:pPr>
            <w:r/>
            <w:r>
              <w:rPr>
                <w:rFonts w:ascii="Aptos" w:hAnsi="Aptos"/>
                <w:b w:val="0"/>
                <w:color w:val="303841"/>
                <w:sz w:val="16"/>
              </w:rPr>
              <w:t>Model evaluation</w:t>
            </w:r>
          </w:p>
        </w:tc>
        <w:tc>
          <w:tcPr>
            <w:tcW w:type="dxa" w:w="7200"/>
            <w:vAlign w:val="top"/>
          </w:tcPr>
          <w:p>
            <w:pPr>
              <w:spacing w:after="0"/>
            </w:pPr>
            <w:r/>
            <w:r>
              <w:rPr>
                <w:rFonts w:ascii="Aptos" w:hAnsi="Aptos"/>
                <w:b w:val="0"/>
                <w:color w:val="303841"/>
                <w:sz w:val="16"/>
              </w:rPr>
              <w:t>Precision, recall, F1, Average Precision, ROC-AUC and confusion matrix</w:t>
            </w:r>
          </w:p>
        </w:tc>
      </w:tr>
      <w:tr>
        <w:tc>
          <w:tcPr>
            <w:tcW w:type="dxa" w:w="2232"/>
            <w:vAlign w:val="top"/>
          </w:tcPr>
          <w:p>
            <w:pPr>
              <w:spacing w:after="0"/>
            </w:pPr>
            <w:r/>
            <w:r>
              <w:rPr>
                <w:rFonts w:ascii="Aptos" w:hAnsi="Aptos"/>
                <w:b w:val="0"/>
                <w:color w:val="303841"/>
                <w:sz w:val="16"/>
              </w:rPr>
              <w:t>Imbalanced classification</w:t>
            </w:r>
          </w:p>
        </w:tc>
        <w:tc>
          <w:tcPr>
            <w:tcW w:type="dxa" w:w="7200"/>
            <w:vAlign w:val="top"/>
          </w:tcPr>
          <w:p>
            <w:pPr>
              <w:spacing w:after="0"/>
            </w:pPr>
            <w:r/>
            <w:r>
              <w:rPr>
                <w:rFonts w:ascii="Aptos" w:hAnsi="Aptos"/>
                <w:b w:val="0"/>
                <w:color w:val="303841"/>
                <w:sz w:val="16"/>
              </w:rPr>
              <w:t>Stratification, balanced class weights and threshold analysis</w:t>
            </w:r>
          </w:p>
        </w:tc>
      </w:tr>
      <w:tr>
        <w:tc>
          <w:tcPr>
            <w:tcW w:type="dxa" w:w="2232"/>
            <w:vAlign w:val="top"/>
          </w:tcPr>
          <w:p>
            <w:pPr>
              <w:spacing w:after="0"/>
            </w:pPr>
            <w:r/>
            <w:r>
              <w:rPr>
                <w:rFonts w:ascii="Aptos" w:hAnsi="Aptos"/>
                <w:b w:val="0"/>
                <w:color w:val="303841"/>
                <w:sz w:val="16"/>
              </w:rPr>
              <w:t>Analytical reasoning</w:t>
            </w:r>
          </w:p>
        </w:tc>
        <w:tc>
          <w:tcPr>
            <w:tcW w:type="dxa" w:w="7200"/>
            <w:vAlign w:val="top"/>
          </w:tcPr>
          <w:p>
            <w:pPr>
              <w:spacing w:after="0"/>
            </w:pPr>
            <w:r/>
            <w:r>
              <w:rPr>
                <w:rFonts w:ascii="Aptos" w:hAnsi="Aptos"/>
                <w:b w:val="0"/>
                <w:color w:val="303841"/>
                <w:sz w:val="16"/>
              </w:rPr>
              <w:t>Temporal split, leakage prevention and explicit limitation analysis</w:t>
            </w:r>
          </w:p>
        </w:tc>
      </w:tr>
      <w:tr>
        <w:tc>
          <w:tcPr>
            <w:tcW w:type="dxa" w:w="2232"/>
            <w:vAlign w:val="top"/>
          </w:tcPr>
          <w:p>
            <w:pPr>
              <w:spacing w:after="0"/>
            </w:pPr>
            <w:r/>
            <w:r>
              <w:rPr>
                <w:rFonts w:ascii="Aptos" w:hAnsi="Aptos"/>
                <w:b w:val="0"/>
                <w:color w:val="303841"/>
                <w:sz w:val="16"/>
              </w:rPr>
              <w:t>Documentation</w:t>
            </w:r>
          </w:p>
        </w:tc>
        <w:tc>
          <w:tcPr>
            <w:tcW w:type="dxa" w:w="7200"/>
            <w:vAlign w:val="top"/>
          </w:tcPr>
          <w:p>
            <w:pPr>
              <w:spacing w:after="0"/>
            </w:pPr>
            <w:r/>
            <w:r>
              <w:rPr>
                <w:rFonts w:ascii="Aptos" w:hAnsi="Aptos"/>
                <w:b w:val="0"/>
                <w:color w:val="303841"/>
                <w:sz w:val="16"/>
              </w:rPr>
              <w:t>Reproducible notebook workflow and structured project documentation</w:t>
            </w:r>
          </w:p>
        </w:tc>
      </w:tr>
    </w:tbl>
    <w:p>
      <w:pPr>
        <w:spacing w:after="0"/>
      </w:pPr>
    </w:p>
    <w:p>
      <w:pPr>
        <w:pStyle w:val="Heading1"/>
      </w:pPr>
      <w:r>
        <w:t>16. Conclusion</w:t>
      </w:r>
    </w:p>
    <w:p>
      <w:r>
        <w:t>Olist Customer Purchase Analytics demonstrates a complete customer-level predictive analytics workflow built on a validated transactional data foundation. The project moves from data-model understanding and customer identity resolution through temporal feature engineering, exploratory analysis, model training, evaluation, and interpretation.</w:t>
      </w:r>
    </w:p>
    <w:p>
      <w:r>
        <w:t>The most important outcome is not a claim of production-ready prediction. Instead, the project establishes a reproducible and technically defensible baseline, quantifies its limitations, and identifies specific next steps for improving customer purchase propensity analysis.</w:t>
      </w:r>
    </w:p>
    <w:p>
      <w:r>
        <w:t>The resulting workflow provides a foundation for continued portfolio development into richer customer behavioral features, segmentation, model comparison, and customer intelligence analysis.</w:t>
      </w:r>
    </w:p>
    <w:tbl>
      <w:tblPr>
        <w:tblW w:type="auto" w:w="0"/>
        <w:jc w:val="center"/>
        <w:tblLook w:firstColumn="1" w:firstRow="1" w:lastColumn="0" w:lastRow="0" w:noHBand="0" w:noVBand="1" w:val="04A0"/>
      </w:tblPr>
      <w:tblGrid>
        <w:gridCol w:w="10080"/>
      </w:tblGrid>
      <w:tr>
        <w:tc>
          <w:tcPr>
            <w:tcW w:type="dxa" w:w="10080"/>
            <w:shd w:fill="F1F5F9"/>
          </w:tcPr>
          <w:p>
            <w:pPr>
              <w:spacing w:after="0"/>
              <w:ind w:left="40"/>
            </w:pPr>
            <w:r/>
            <w:r>
              <w:rPr>
                <w:b/>
                <w:color w:val="17202A"/>
                <w:sz w:val="19"/>
              </w:rPr>
              <w:t>Project repository: https://github.com/ReinSoup/OLIST-Customer-Purchase-Analytics</w:t>
              <w:br/>
              <w:t>Upstream project: https://github.com/ReinSoup/OLIST-Data-Quality-ETL</w:t>
            </w:r>
          </w:p>
        </w:tc>
      </w:tr>
    </w:tbl>
    <w:p>
      <w:pPr>
        <w:spacing w:after="0"/>
      </w:pPr>
    </w:p>
    <w:sectPr w:rsidR="00FC693F" w:rsidRPr="0006063C" w:rsidSect="00034616">
      <w:footerReference w:type="default" r:id="rId13"/>
      <w:pgSz w:w="12240" w:h="15840"/>
      <w:pgMar w:top="1037"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Olist Customer Purchase Analytics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3038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17202A"/>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33415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1720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