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89E6B" w14:textId="3780AB5E">
      <w:pPr>
        <w:pStyle w:val="P68B1DB1-a31"/>
        <w:jc w:val="center"/>
        <w:rPr>
          <w:rFonts w:ascii="Calibri Light" w:hAnsi="Calibri Light"/>
          <w:b/>
          <w:bCs/>
          <w:sz w:val="40"/>
          <w:szCs w:val="40"/>
        </w:rPr>
      </w:pPr>
      <w:r>
        <w:t xml:space="preserve">MEME-ry Christmas Empfehlungs-Gewinnspiel - DOGE/SHIB im Wert von 10 Mio. $ zu gewinnen!</w:t>
      </w:r>
    </w:p>
    <w:p w14:paraId="532AF3E3" w14:textId="381DA81F"/>
    <w:p w14:paraId="64C79077" w14:textId="24B46417">
      <w:r>
        <w:t xml:space="preserve">Liebe geschätzte Nutzer,</w:t>
      </w:r>
    </w:p>
    <w:p w14:paraId="5C3076E4" w14:textId="65D2782C">
      <w:r>
        <w:t xml:space="preserve">Die Regeln des Events wurden aktualisiert, um Ihnen ein fröhlicheres MEME-ry Christmas zu bescheren! Von nun an gibt es keine Freischaltanforderungen mehr für Ihre Belohnungen. Sie können Ihre Belohnungen erhalten, sobald die festgelegten Aufgaben abgeschlossen sind!</w:t>
      </w:r>
    </w:p>
    <w:p w14:paraId="2DA0B662" w14:textId="77777777"/>
    <w:p w14:paraId="7C292D5D" w14:textId="37F7B82C">
      <w:pPr>
        <w:rPr>
          <w:rFonts w:ascii="Calibri" w:hAnsi="Calibri" w:cs="Calibri" w:eastAsia="Calibri"/>
          <w:color w:val="000000" w:themeColor="text1"/>
        </w:rPr>
      </w:pPr>
      <w:r>
        <w:rPr>
          <w:b/>
        </w:rPr>
        <w:t xml:space="preserve">*Eventzeitraum: </w:t>
      </w:r>
      <w:r>
        <w:t xml:space="preserve">18. Nov 2021, 00:00 (UTC) - 19. Jan 2022, 00:00 (UTC)</w:t>
      </w:r>
    </w:p>
    <w:p w14:paraId="7C698639" w14:textId="6242EF40">
      <w:pPr>
        <w:rPr>
          <w:rFonts w:ascii="Calibri" w:hAnsi="Calibri" w:cs="Calibri" w:eastAsia="Calibri"/>
          <w:i/>
          <w:iCs/>
          <w:color w:val="000000" w:themeColor="text1"/>
        </w:rPr>
      </w:pPr>
      <w:r>
        <w:t xml:space="preserve">(Hinweis: Am 17. und 18. Januar 2022 wird es keinen Preispool geben. Jedoch sind Belohnungen an diesen beiden Tagen immer noch einlösbar. Nach dem Eventzeitraum wird kein Preis einlösbar sein.)</w:t>
      </w:r>
    </w:p>
    <w:p w14:paraId="78AD0006" w14:textId="4087F386">
      <w:pPr>
        <w:rPr>
          <w:rFonts w:ascii="Calibri" w:hAnsi="Calibri" w:cs="Calibri" w:eastAsia="Calibri"/>
          <w:color w:val="000000" w:themeColor="text1"/>
        </w:rPr>
      </w:pPr>
      <w:r>
        <w:t xml:space="preserve"> </w:t>
      </w:r>
    </w:p>
    <w:p w14:paraId="1CFC26DF" w14:textId="65BAFD7E">
      <w:pPr>
        <w:rPr>
          <w:rFonts w:ascii="Calibri" w:hAnsi="Calibri" w:cs="Calibri" w:eastAsia="Calibri"/>
          <w:b/>
          <w:bCs/>
          <w:color w:val="000000" w:themeColor="text1"/>
        </w:rPr>
        <w:pStyle w:val="P68B1DB1-a2"/>
      </w:pPr>
      <w:r>
        <w:t>*Belohnungen:</w:t>
      </w:r>
    </w:p>
    <w:p w14:paraId="440DC522" w14:textId="20555E5D">
      <w:pPr>
        <w:rPr>
          <w:rFonts w:ascii="Calibri" w:hAnsi="Calibri" w:cs="Calibri" w:eastAsia="Calibri"/>
          <w:color w:val="000000" w:themeColor="text1"/>
        </w:rPr>
      </w:pPr>
      <w:r>
        <w:t xml:space="preserve">Das Event bietet täglich einen Preispool, der mit der Anzahl der Teilnehmer variiert. Sie können den täglichen Preispool teilen, indem Sie festgelegte Aufgaben abschließen. Bitte besuchen Sie die Eventseite für die Informationen zum täglichen Preispool.</w:t>
      </w:r>
    </w:p>
    <w:p w14:paraId="1BE7EEC1" w14:textId="765C00AF">
      <w:pPr>
        <w:rPr>
          <w:rFonts w:ascii="Calibri" w:hAnsi="Calibri" w:cs="Calibri" w:eastAsia="Calibri"/>
          <w:color w:val="000000" w:themeColor="text1"/>
        </w:rPr>
      </w:pPr>
      <w:r>
        <w:t xml:space="preserve"> </w:t>
      </w:r>
    </w:p>
    <w:p w14:paraId="1CF8EFEC" w14:textId="7208657D">
      <w:pPr>
        <w:rPr>
          <w:rFonts w:ascii="Calibri" w:hAnsi="Calibri" w:cs="Calibri" w:eastAsia="Calibri"/>
          <w:b/>
          <w:bCs/>
          <w:color w:val="000000" w:themeColor="text1"/>
        </w:rPr>
        <w:pStyle w:val="P68B1DB1-a2"/>
      </w:pPr>
      <w:r>
        <w:t xml:space="preserve">*Wie teilnehmen?</w:t>
      </w:r>
    </w:p>
    <w:p w14:paraId="68059004" w14:textId="3AAB33DF">
      <w:r>
        <w:rPr>
          <w:rFonts w:ascii="Calibri" w:hAnsi="Calibri" w:cs="Calibri" w:eastAsia="Calibri"/>
          <w:b/>
          <w:color w:val="000000" w:themeColor="text1"/>
        </w:rPr>
        <w:t xml:space="preserve">Tutorial-Video: </w:t>
      </w:r>
      <w:r>
        <w:rPr>
          <w:rStyle w:val="a4"/>
          <w:rFonts w:ascii="Calibri" w:hAnsi="Calibri" w:cs="Calibri" w:eastAsia="Calibri"/>
          <w:b/>
          <w:color w:val="FF0000"/>
        </w:rPr>
        <w:fldChar w:fldCharType="begin"/>
      </w:r>
      <w:r>
        <w:rPr>
          <w:rStyle w:val="a4"/>
          <w:rFonts w:ascii="Calibri" w:eastAsia="Calibri" w:hAnsi="Calibri" w:cs="Calibri"/>
          <w:b/>
          <w:bCs/>
          <w:color w:val="FF0000"/>
        </w:rPr>
        <w:instrText xml:space="preserve"> HYPERLINK "https://www.huobi.com/sup</w:instrText>
      </w:r>
      <w:r>
        <w:rPr>
          <w:rStyle w:val="a4"/>
          <w:rFonts w:ascii="Calibri" w:eastAsia="Calibri" w:hAnsi="Calibri" w:cs="Calibri"/>
          <w:b/>
          <w:bCs/>
          <w:color w:val="FF0000"/>
        </w:rPr>
        <w:instrText xml:space="preserve">port/en-us/detail/74891372014171" \h </w:instrText>
      </w:r>
      <w:r>
        <w:rPr>
          <w:rStyle w:val="a4"/>
          <w:rFonts w:ascii="Calibri" w:eastAsia="Calibri" w:hAnsi="Calibri" w:cs="Calibri"/>
          <w:b/>
          <w:bCs/>
          <w:color w:val="FF0000"/>
        </w:rPr>
        <w:fldChar w:fldCharType="separate"/>
      </w:r>
      <w:r>
        <w:rPr>
          <w:rStyle w:val="a4"/>
          <w:rFonts w:ascii="Calibri" w:eastAsia="Calibri" w:hAnsi="Calibri" w:cs="Calibri"/>
          <w:b/>
          <w:bCs/>
          <w:color w:val="FF0000"/>
        </w:rPr>
        <w:t>https://www.huobi.com/support/en-us/detail/74891372014171</w:t>
      </w:r>
      <w:r>
        <w:rPr>
          <w:rStyle w:val="a4"/>
          <w:rFonts w:ascii="Calibri" w:eastAsia="Calibri" w:hAnsi="Calibri" w:cs="Calibri"/>
          <w:b/>
          <w:bCs/>
          <w:color w:val="FF0000"/>
        </w:rPr>
        <w:fldChar w:fldCharType="end"/>
        <w:t xml:space="preserve"> </w:t>
      </w:r>
    </w:p>
    <w:p w14:paraId="33D67D19" w14:textId="5BE51B26"/>
    <w:p w14:paraId="0F11DD9B" w14:textId="63D4B459">
      <w:pPr>
        <w:rPr>
          <w:b/>
          <w:bCs/>
        </w:rPr>
        <w:pStyle w:val="P68B1DB1-a2"/>
      </w:pPr>
      <w:r>
        <w:t xml:space="preserve">Wie man das meiste aus dem 10 Mio. $ DOGE/SHIB Pool gewinnt:</w:t>
      </w:r>
    </w:p>
    <w:p w14:paraId="48A19BAA" w14:textId="60A72069">
      <w:pPr>
        <w:rPr>
          <w:rFonts w:ascii="Calibri" w:hAnsi="Calibri" w:cs="Calibri" w:eastAsia="Calibri"/>
          <w:b/>
          <w:bCs/>
          <w:color w:val="000000" w:themeColor="text1"/>
        </w:rPr>
        <w:pStyle w:val="P68B1DB1-a2"/>
      </w:pPr>
      <w:r>
        <w:t xml:space="preserve">Schritt 1: Punkte verdienen</w:t>
      </w:r>
    </w:p>
    <w:p w14:paraId="700235A0" w14:textId="15BF0E52">
      <w:pPr>
        <w:rPr>
          <w:rFonts w:ascii="Calibri" w:hAnsi="Calibri" w:cs="Calibri" w:eastAsia="Calibri"/>
          <w:color w:val="000000" w:themeColor="text1"/>
        </w:rPr>
      </w:pPr>
      <w:r>
        <w:t xml:space="preserve">Während des Aktionszeitraums erhalten sowohl Sie als auch Ihre Freunde Punkte, indem Sie Freunde einladen, sich für ein Huobi-Konto zu registrieren. Der tägliche Preispool wird basierend auf den Punkten geteilt, die jeder Benutzer erhält. Je mehr Freunde Sie einladen, desto mehr Belohnungen erhalten Sie.</w:t>
      </w:r>
    </w:p>
    <w:p w14:paraId="256DD936" w14:textId="71193B3B">
      <w:r>
        <w:br/>
      </w:r>
      <w:r>
        <w:rPr>
          <w:b/>
        </w:rPr>
        <w:t xml:space="preserve">So verdienen Sie Punkte:</w:t>
      </w:r>
    </w:p>
    <w:p w14:paraId="202F3052" w14:textId="711E814C">
      <w:r>
        <w:rPr>
          <w:b/>
        </w:rPr>
        <w:t xml:space="preserve">1. Empfehlen:</w:t>
      </w:r>
      <w:r>
        <w:t xml:space="preserve"> Klicken Sie auf der Startseite der Huobi App auf „Xmas Gift“ und teilen Sie Ihren festgelegten Einladungslink (KEINE ANDEREN LINKS) mit Ihren Freunden. Laden Sie sie ein, sich während des Aktionszeitraums als neue Benutzer von Huobi Global zu registrieren, und Sie beide erhalten jeweils 1 Punkt.</w:t>
      </w:r>
    </w:p>
    <w:p w14:paraId="41E73B28" w14:textId="68B694E4">
      <w:r>
        <w:rPr>
          <w:b/>
        </w:rPr>
        <w:t xml:space="preserve">2. Verifizieren:</w:t>
      </w:r>
      <w:r>
        <w:t xml:space="preserve"> Nachdem Ihr Freund die ID-Verifizierung (KYC) abgeschlossen hat, erhalten Sie beide jeweils 2 Punkte.</w:t>
      </w:r>
    </w:p>
    <w:p w14:paraId="767D07D8" w14:textId="5CE4C621">
      <w:r>
        <w:rPr>
          <w:b/>
        </w:rPr>
        <w:t xml:space="preserve">3. Erstellen Sie ein kurzes Video:</w:t>
      </w:r>
      <w:r>
        <w:t xml:space="preserve"> Sie können zusätzliche Punkte verdienen, indem Sie ein kurzes Einführungsvideo zu diesem Event erstellen und es in sozialen Medien (z.B. TikTok, Twitter, Facebook, YouTube, Instagram, etc.) posten und den Videolink zur Überprüfung an uns senden. Nach bestandener Überprüfung werden Ihnen 5 Punkte gutgeschrieben. Jeder Benutzer kann über diese Aufgabe nur einmal Punkte erhalten. Für mehrere Einreichungen werden keine zusätzlichen Punkte vergeben. Die Punkte werden ausgegeben, nachdem die Überprüfung bestanden wurde. Der Überprüfungsprozess dauert nicht länger als drei Werktage.</w:t>
      </w:r>
    </w:p>
    <w:p w14:paraId="61963671" w14:textId="0723F97A">
      <w:r>
        <w:rPr>
          <w:b/>
        </w:rPr>
        <w:t>Beispiel:</w:t>
      </w:r>
      <w:r>
        <w:t xml:space="preserve"> Ein neuer Benutzer, der sich über dieses Event bei Huobi registriert, 100 Freunde über seinen/ihren Einladungslink zur Registrierung eingeladen und die Überprüfung der Kurzvideo-Aufgabe am selben Tag abgeschlossen hat, erhält: 1 + 100 * 1 + 5 = 106 Punkte.</w:t>
      </w:r>
    </w:p>
    <w:p w14:paraId="735D3332" w14:textId="77777777"/>
    <w:p w14:paraId="61ECC1E5" w14:textId="01FA1DFD">
      <w:pPr>
        <w:pStyle w:val="P68B1DB1-a3"/>
      </w:pPr>
      <w:r>
        <w:t xml:space="preserve">Schritt 2. Klicken Sie auf die Weihnachtsbaumfrüchte, um Belohnungen einzulösen</w:t>
      </w:r>
    </w:p>
    <w:p w14:paraId="7DA09D44" w14:textId="32373E6A">
      <w:pPr>
        <w:rPr>
          <w:rFonts w:ascii="Calibri" w:hAnsi="Calibri" w:cs="Calibri" w:eastAsia="Calibri"/>
          <w:color w:val="000000" w:themeColor="text1"/>
        </w:rPr>
      </w:pPr>
      <w:r>
        <w:t xml:space="preserve">Ihre täglichen Belohnungen werden auf der Eventseite an den Weihnachtsbaum verteilt. Wenn eine Ihrer täglichen Belohnungen nicht beansprucht wird, werden die Früchte am Baum reif. Klicken Sie auf die reifen Früchte, um Belohnungen in den entsprechenden Mengen zu erhalten.</w:t>
      </w:r>
    </w:p>
    <w:p w14:paraId="6EA1863A" w14:textId="6AA282E5">
      <w:pPr>
        <w:rPr>
          <w:rFonts w:ascii="Calibri" w:hAnsi="Calibri" w:cs="Calibri" w:eastAsia="Calibri"/>
          <w:color w:val="000000" w:themeColor="text1"/>
        </w:rPr>
      </w:pPr>
    </w:p>
    <w:p w14:paraId="6371D7C9" w14:textId="547CF388">
      <w:pPr>
        <w:rPr>
          <w:rFonts w:ascii="Calibri" w:hAnsi="Calibri" w:cs="Calibri" w:eastAsia="Calibri"/>
          <w:b/>
          <w:bCs/>
          <w:color w:val="000000" w:themeColor="text1"/>
        </w:rPr>
        <w:pStyle w:val="P68B1DB1-a2"/>
      </w:pPr>
      <w:r>
        <w:t xml:space="preserve">Schritt 3. Erhalten Sie Ihre Belohnungen über 3 Tage</w:t>
      </w:r>
    </w:p>
    <w:p w14:paraId="22BEF0D8" w14:textId="0B71BA71">
      <w:pPr>
        <w:rPr>
          <w:rFonts w:ascii="Calibri" w:hAnsi="Calibri" w:cs="Calibri" w:eastAsia="Calibri"/>
          <w:color w:val="000000" w:themeColor="text1"/>
        </w:rPr>
      </w:pPr>
      <w:r>
        <w:t xml:space="preserve">Ihre Belohnungen werden über 3 Tage auf Ihr Exchange-Konto verteilt: 50 % am ersten Tag (dem Tag der Einlösung), 30 % am zweiten Tag und 20 % am dritten Tag. Für die Belohnungen des zweiten und dritten Tages klicken Sie bitte auf die reifen Früchte, um diese einzulösen.</w:t>
      </w:r>
    </w:p>
    <w:p w14:paraId="45E0F35F" w14:textId="5C8DF261">
      <w:pPr>
        <w:rPr>
          <w:rFonts w:ascii="Calibri" w:hAnsi="Calibri" w:cs="Calibri" w:eastAsia="Calibri"/>
          <w:color w:val="000000" w:themeColor="text1"/>
        </w:rPr>
      </w:pPr>
      <w:r>
        <w:t xml:space="preserve">Beispiel: Wenn Sie am 1. Dez. auf eine reife Frucht von 500 DOGE klicken, wird die 500 DOGE Belohnung über 3 Tage auf Ihr Exchange-Konto geliefert, d.h. 250 DOGE (50%) am 1. Dez., 150 DOGE (30%) am 2. Dez. und 100 DOGE (20%) am 3. Dez.</w:t>
      </w:r>
    </w:p>
    <w:p w14:paraId="0F31A7C0" w14:textId="2CF117D2">
      <w:pPr>
        <w:rPr>
          <w:rFonts w:ascii="Calibri" w:hAnsi="Calibri" w:cs="Calibri" w:eastAsia="Calibri"/>
          <w:color w:val="000000" w:themeColor="text1"/>
        </w:rPr>
      </w:pPr>
      <w:r>
        <w:t xml:space="preserve"> </w:t>
      </w:r>
    </w:p>
    <w:p w14:paraId="257286AC" w14:textId="2E8D758E">
      <w:pPr>
        <w:rPr>
          <w:rFonts w:ascii="Calibri" w:hAnsi="Calibri" w:cs="Calibri" w:eastAsia="Calibri"/>
          <w:b/>
          <w:bCs/>
          <w:color w:val="000000" w:themeColor="text1"/>
        </w:rPr>
        <w:pStyle w:val="P68B1DB1-a2"/>
      </w:pPr>
      <w:r>
        <w:t>*Hinweise</w:t>
      </w:r>
    </w:p>
    <w:p w14:paraId="737043C5" w14:textId="713A19C0">
      <w:pPr>
        <w:pStyle w:val="a5"/>
        <w:numPr>
          <w:ilvl w:val="0"/>
          <w:numId w:val="1"/>
        </w:numPr>
        <w:rPr>
          <w:rFonts w:eastAsiaTheme="minorEastAsia"/>
          <w:color w:val="000000" w:themeColor="text1"/>
        </w:rPr>
      </w:pPr>
      <w:r>
        <w:rPr>
          <w:rFonts w:ascii="Calibri" w:hAnsi="Calibri" w:cs="Calibri" w:eastAsia="Calibri"/>
        </w:rPr>
        <w:t xml:space="preserve">Ausgeschlossene Länder/Regionen: </w:t>
      </w:r>
      <w:r>
        <w:rPr>
          <w:rFonts w:ascii="Calibri" w:hAnsi="Calibri" w:cs="Calibri"/>
          <w:color w:val="000000"/>
          <w:shd w:val="clear" w:color="auto" w:fill="FFFFFF"/>
        </w:rPr>
        <w:t xml:space="preserve">Festlandchina, Taiwan, China, Hongkong, China, Macau, China, die Vereinigten Staaten von Amerika, Kanada, Japan, Kuba, Iran, Nordkorea, Sudan, Syrien, Venezuela, Singapur und Krim.</w:t>
      </w:r>
    </w:p>
    <w:p w14:paraId="084D3357" w14:textId="43317333">
      <w:pPr>
        <w:pStyle w:val="P68B1DB1-a54"/>
        <w:numPr>
          <w:ilvl w:val="0"/>
          <w:numId w:val="1"/>
        </w:numPr>
        <w:rPr>
          <w:rFonts w:eastAsiaTheme="minorEastAsia"/>
          <w:color w:val="000000" w:themeColor="text1"/>
        </w:rPr>
      </w:pPr>
      <w:r>
        <w:t xml:space="preserve">Der tägliche Preispool dauert täglich von 00:00 (UTC) bis 24:00 (UTC). Belohnungen werden täglich um 24:00 Uhr abgerechnet.</w:t>
      </w:r>
    </w:p>
    <w:p w14:paraId="11AE67BB" w14:textId="76653168">
      <w:pPr>
        <w:pStyle w:val="P68B1DB1-a54"/>
        <w:numPr>
          <w:ilvl w:val="0"/>
          <w:numId w:val="1"/>
        </w:numPr>
        <w:rPr>
          <w:rFonts w:eastAsiaTheme="minorEastAsia"/>
          <w:color w:val="000000" w:themeColor="text1"/>
        </w:rPr>
      </w:pPr>
      <w:r>
        <w:t xml:space="preserve">Huobi behält sich das Recht der endgültigen Entscheidung bei diesem Event vor. Im Falle von Betrugsverhalten wie Wash-Trading und Kontomanipulation behält sich Huobi das Recht vor, die beteiligten Nutzer zu disqualifizieren und die Belohnungen ohne vorherige Ankündigung einzuziehen.</w:t>
      </w:r>
    </w:p>
    <w:p w14:paraId="3F25F917" w14:textId="13AD54E9">
      <w:pPr>
        <w:rPr>
          <w:rFonts w:ascii="Calibri" w:hAnsi="Calibri" w:cs="Calibri" w:eastAsia="Calibri"/>
          <w:color w:val="000000" w:themeColor="text1"/>
        </w:rPr>
      </w:pPr>
      <w:r>
        <w:t xml:space="preserve"> </w:t>
      </w:r>
    </w:p>
    <w:p w14:paraId="7768BB4A" w14:textId="4A0195DD">
      <w:pPr>
        <w:rPr>
          <w:rFonts w:ascii="Calibri" w:hAnsi="Calibri" w:cs="Calibri" w:eastAsia="Calibri"/>
          <w:color w:val="000000" w:themeColor="text1"/>
        </w:rPr>
      </w:pPr>
      <w:r>
        <w:t xml:space="preserve">Huobi Global</w:t>
      </w:r>
    </w:p>
    <w:p w14:paraId="68CEAB22" w14:textId="4ECE861D">
      <w:pPr>
        <w:rPr>
          <w:rFonts w:ascii="Calibri" w:hAnsi="Calibri" w:cs="Calibri" w:eastAsia="Calibri"/>
          <w:color w:val="FF0000"/>
        </w:rPr>
      </w:pPr>
      <w:r>
        <w:t xml:space="preserve">15. November 2021</w:t>
      </w:r>
    </w:p>
    <w:p w14:paraId="74136CBD" w14:textId="2E62479E">
      <w:pPr>
        <w:rPr>
          <w:rFonts w:ascii="Calibri" w:hAnsi="Calibri" w:cs="Calibri" w:eastAsia="Calibri"/>
          <w:color w:val="000000" w:themeColor="text1"/>
        </w:rPr>
      </w:pPr>
    </w:p>
    <w:p w14:paraId="36755BFB" w14:textId="22D82D2F">
      <w:r>
        <w:br/>
        <w:t xml:space="preserve"> </w:t>
        <w:br/>
      </w:r>
    </w:p>
    <w:p w14:paraId="4EA21421" w14:textId="3BADFC56"/>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E788D"/>
    <w:multiLevelType w:val="hybridMultilevel"/>
    <w:tmpl w:val="F33846DE"/>
    <w:lvl w:ilvl="0" w:tplc="23B2B9AC">
      <w:start w:val="1"/>
      <w:numFmt w:val="bullet"/>
      <w:lvlText w:val=""/>
      <w:lvlJc w:val="left"/>
      <w:pPr>
        <w:ind w:left="720" w:hanging="360"/>
      </w:pPr>
      <w:rPr>
        <w:rFonts w:ascii="Symbol" w:hAnsi="Symbol" w:hint="default"/>
      </w:rPr>
    </w:lvl>
    <w:lvl w:ilvl="1" w:tplc="6BEC962C">
      <w:start w:val="1"/>
      <w:numFmt w:val="bullet"/>
      <w:lvlText w:val="o"/>
      <w:lvlJc w:val="left"/>
      <w:pPr>
        <w:ind w:left="1440" w:hanging="360"/>
      </w:pPr>
      <w:rPr>
        <w:rFonts w:ascii="Courier New" w:hAnsi="Courier New" w:hint="default"/>
      </w:rPr>
    </w:lvl>
    <w:lvl w:ilvl="2" w:tplc="9D7885E4">
      <w:start w:val="1"/>
      <w:numFmt w:val="bullet"/>
      <w:lvlText w:val=""/>
      <w:lvlJc w:val="left"/>
      <w:pPr>
        <w:ind w:left="2160" w:hanging="360"/>
      </w:pPr>
      <w:rPr>
        <w:rFonts w:ascii="Wingdings" w:hAnsi="Wingdings" w:hint="default"/>
      </w:rPr>
    </w:lvl>
    <w:lvl w:ilvl="3" w:tplc="10248AE8">
      <w:start w:val="1"/>
      <w:numFmt w:val="bullet"/>
      <w:lvlText w:val=""/>
      <w:lvlJc w:val="left"/>
      <w:pPr>
        <w:ind w:left="2880" w:hanging="360"/>
      </w:pPr>
      <w:rPr>
        <w:rFonts w:ascii="Symbol" w:hAnsi="Symbol" w:hint="default"/>
      </w:rPr>
    </w:lvl>
    <w:lvl w:ilvl="4" w:tplc="5F3E60F8">
      <w:start w:val="1"/>
      <w:numFmt w:val="bullet"/>
      <w:lvlText w:val="o"/>
      <w:lvlJc w:val="left"/>
      <w:pPr>
        <w:ind w:left="3600" w:hanging="360"/>
      </w:pPr>
      <w:rPr>
        <w:rFonts w:ascii="Courier New" w:hAnsi="Courier New" w:hint="default"/>
      </w:rPr>
    </w:lvl>
    <w:lvl w:ilvl="5" w:tplc="88B290F2">
      <w:start w:val="1"/>
      <w:numFmt w:val="bullet"/>
      <w:lvlText w:val=""/>
      <w:lvlJc w:val="left"/>
      <w:pPr>
        <w:ind w:left="4320" w:hanging="360"/>
      </w:pPr>
      <w:rPr>
        <w:rFonts w:ascii="Wingdings" w:hAnsi="Wingdings" w:hint="default"/>
      </w:rPr>
    </w:lvl>
    <w:lvl w:ilvl="6" w:tplc="1A605C9C">
      <w:start w:val="1"/>
      <w:numFmt w:val="bullet"/>
      <w:lvlText w:val=""/>
      <w:lvlJc w:val="left"/>
      <w:pPr>
        <w:ind w:left="5040" w:hanging="360"/>
      </w:pPr>
      <w:rPr>
        <w:rFonts w:ascii="Symbol" w:hAnsi="Symbol" w:hint="default"/>
      </w:rPr>
    </w:lvl>
    <w:lvl w:ilvl="7" w:tplc="5DF4F086">
      <w:start w:val="1"/>
      <w:numFmt w:val="bullet"/>
      <w:lvlText w:val="o"/>
      <w:lvlJc w:val="left"/>
      <w:pPr>
        <w:ind w:left="5760" w:hanging="360"/>
      </w:pPr>
      <w:rPr>
        <w:rFonts w:ascii="Courier New" w:hAnsi="Courier New" w:hint="default"/>
      </w:rPr>
    </w:lvl>
    <w:lvl w:ilvl="8" w:tplc="CEBA5C6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6BF66"/>
    <w:rsid w:val="00074FB2"/>
    <w:rsid w:val="000859D1"/>
    <w:rsid w:val="00226506"/>
    <w:rsid w:val="003B5A5F"/>
    <w:rsid w:val="007B53D1"/>
    <w:rsid w:val="009B5604"/>
    <w:rsid w:val="00A07865"/>
    <w:rsid w:val="00A33584"/>
    <w:rsid w:val="00A55C20"/>
    <w:rsid w:val="00A6639D"/>
    <w:rsid w:val="00A8515F"/>
    <w:rsid w:val="00AB1EFD"/>
    <w:rsid w:val="00DA7548"/>
    <w:rsid w:val="00E121D6"/>
    <w:rsid w:val="010B8710"/>
    <w:rsid w:val="01CAC5FD"/>
    <w:rsid w:val="0246BF66"/>
    <w:rsid w:val="06A3363E"/>
    <w:rsid w:val="07E403EA"/>
    <w:rsid w:val="0D73B9DA"/>
    <w:rsid w:val="1399976C"/>
    <w:rsid w:val="1856B001"/>
    <w:rsid w:val="1AE8F20F"/>
    <w:rsid w:val="1CE1D036"/>
    <w:rsid w:val="207ABC01"/>
    <w:rsid w:val="25CF19D2"/>
    <w:rsid w:val="2896847C"/>
    <w:rsid w:val="2F52280A"/>
    <w:rsid w:val="30CF8A38"/>
    <w:rsid w:val="36AA149E"/>
    <w:rsid w:val="396657F7"/>
    <w:rsid w:val="3FB58145"/>
    <w:rsid w:val="40B559C8"/>
    <w:rsid w:val="411D7786"/>
    <w:rsid w:val="4D503CF7"/>
    <w:rsid w:val="4D56C8BC"/>
    <w:rsid w:val="5A7265E7"/>
    <w:rsid w:val="5CC4DF18"/>
    <w:rsid w:val="5DB4610E"/>
    <w:rsid w:val="5EB3BA11"/>
    <w:rsid w:val="5FB121EF"/>
    <w:rsid w:val="62FF9B36"/>
    <w:rsid w:val="64B03CDB"/>
    <w:rsid w:val="6971A193"/>
    <w:rsid w:val="6C32F574"/>
    <w:rsid w:val="6C6B7B49"/>
    <w:rsid w:val="6CC7D42D"/>
    <w:rsid w:val="703CA866"/>
    <w:rsid w:val="72963D75"/>
    <w:rsid w:val="749A0524"/>
    <w:rsid w:val="78C8A818"/>
    <w:rsid w:val="79ABFF9A"/>
    <w:rsid w:val="7A5F9B1A"/>
    <w:rsid w:val="7E1C5610"/>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BF66"/>
  <w15:chartTrackingRefBased/>
  <w15:docId w15:val="{ACC969E3-FEDB-4A06-B246-9D8CAE7C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spacing w:after="160" w:line="259" w:lineRule="auto"/>
      </w:pPr>
    </w:pPrDefault>
    <w:rPrDefault>
      <w:rPr>
        <w:rFonts w:asciiTheme="minorHAnsi" w:hAnsiTheme="minorHAnsi" w:cstheme="minorBidi" w:eastAsia="PMingLiU"/>
        <w:sz w:val="22"/>
        <w:szCs w:val="22"/>
      </w:rPr>
    </w:r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Pr>
      <w:rFonts w:asciiTheme="majorHAnsi" w:hAnsiTheme="majorHAnsi" w:cstheme="majorBidi" w:eastAsiaTheme="majorEastAsia"/>
      <w:spacing w:val="-10"/>
      <w:kern w:val="28"/>
      <w:sz w:val="56"/>
      <w:szCs w:val="56"/>
    </w:rPr>
  </w:style>
  <w:style w:type="paragraph" w:styleId="a3">
    <w:name w:val="Title"/>
    <w:basedOn w:val="a"/>
    <w:next w:val="a"/>
    <w:link w:val="Char"/>
    <w:uiPriority w:val="10"/>
    <w:qFormat/>
    <w:pPr>
      <w:spacing w:after="0" w:line="240" w:lineRule="auto"/>
      <w:contextualSpacing/>
    </w:pPr>
    <w:rPr>
      <w:rFonts w:asciiTheme="majorHAnsi" w:hAnsiTheme="majorHAnsi" w:cstheme="majorBidi" w:eastAsiaTheme="majorEastAsia"/>
      <w:spacing w:val="-10"/>
      <w:kern w:val="28"/>
      <w:sz w:val="56"/>
      <w:szCs w:val="56"/>
    </w:rPr>
  </w:style>
  <w:style w:type="character" w:styleId="a4">
    <w:name w:val="Hyperlink"/>
    <w:basedOn w:val="a0"/>
    <w:uiPriority w:val="99"/>
    <w:unhideWhenUsed/>
    <w:rPr>
      <w:color w:val="0563C1" w:themeColor="hyperlink"/>
      <w:u w:val="single"/>
    </w:rPr>
  </w:style>
  <w:style w:type="paragraph" w:styleId="a5">
    <w:name w:val="List Paragraph"/>
    <w:basedOn w:val="a"/>
    <w:uiPriority w:val="34"/>
    <w:qFormat/>
    <w:pPr>
      <w:ind w:left="720"/>
      <w:contextualSpacing/>
    </w:pPr>
  </w:style>
  <w:style w:type="character" w:styleId="a6">
    <w:name w:val="FollowedHyperlink"/>
    <w:basedOn w:val="a0"/>
    <w:uiPriority w:val="99"/>
    <w:semiHidden/>
    <w:unhideWhenUsed/>
    <w:rsid w:val="00A33584"/>
    <w:rPr>
      <w:color w:val="954F72" w:themeColor="followedHyperlink"/>
      <w:u w:val="single"/>
    </w:rPr>
  </w:style>
  <w:style w:type="paragraph" w:styleId="a7">
    <w:name w:val="Revision"/>
    <w:hidden/>
    <w:uiPriority w:val="99"/>
    <w:semiHidden/>
    <w:rsid w:val="00E121D6"/>
    <w:pPr>
      <w:spacing w:after="0" w:line="240" w:lineRule="auto"/>
    </w:pPr>
  </w:style>
  <w:style w:type="paragraph" w:styleId="P68B1DB1-a31">
    <w:name w:val="P68B1DB1-a31"/>
    <w:basedOn w:val="a3"/>
    <w:rPr>
      <w:b/>
    </w:rPr>
  </w:style>
  <w:style w:type="paragraph" w:styleId="P68B1DB1-a2">
    <w:name w:val="P68B1DB1-a2"/>
    <w:basedOn w:val="a"/>
    <w:rPr>
      <w:b/>
    </w:rPr>
  </w:style>
  <w:style w:type="paragraph" w:styleId="P68B1DB1-a3">
    <w:name w:val="P68B1DB1-a3"/>
    <w:basedOn w:val="a"/>
    <w:rPr>
      <w:rFonts w:ascii="Calibri" w:hAnsi="Calibri" w:cs="Calibri" w:eastAsia="Calibri"/>
      <w:b/>
      <w:color w:val="000000" w:themeColor="text1"/>
    </w:rPr>
  </w:style>
  <w:style w:type="paragraph" w:styleId="P68B1DB1-a54">
    <w:name w:val="P68B1DB1-a54"/>
    <w:basedOn w:val="a5"/>
    <w:rPr>
      <w:rFonts w:ascii="Calibri" w:hAnsi="Calibri" w:cs="Calibri"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Fernando G Van Cotthem</dc:creator>
  <cp:keywords/>
  <dc:description/>
  <cp:lastModifiedBy>CCJK</cp:lastModifiedBy>
  <cp:revision>2</cp:revision>
  <dcterms:created xsi:type="dcterms:W3CDTF">2021-12-08T11:12:00Z</dcterms:created>
  <dcterms:modified xsi:type="dcterms:W3CDTF">2021-12-08T11:12:00Z</dcterms:modified>
</cp:coreProperties>
</file>