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7.4pt;margin-top:775.2pt;width:387.1pt;height:8.05pt;z-index:25167667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44;mso-fit-shape-to-text:t" inset="0,0,0,0">
              <w:txbxContent>
                <w:p>
                  <w:pPr>
                    <w:adjustRightInd w:val="0"/>
                    <w:snapToGrid w:val="0"/>
                    <w:jc w:val="distribute"/>
                    <w:rPr>
                      <w:rFonts w:ascii="Arial" w:hAnsi="Arial" w:cs="Arial" w:eastAsia="Arial"/>
                      <w:snapToGrid w:val="0"/>
                      <w:sz w:val="20"/>
                      <w:szCs w:val="20"/>
                    </w:rPr>
                    <w:pStyle w:val="P68B1DB1-a1"/>
                  </w:pPr>
                  <w:r>
                    <w:t xml:space="preserve">© 2023 WESTERN DIGITAL CORPORATION ODER SEINE TOCHTERGESELLSCHAFTEN ALLE RECHTE VORBEHALTEN</w:t>
                  </w:r>
                </w:p>
              </w:txbxContent>
            </v:textbox>
          </v:shape>
        </w:pict>
      </w:r>
      <w:r>
        <w:pict>
          <v:shape id="_x0000_s1043" type="#_x0000_t202" style="position:absolute;margin-left:54.7pt;margin-top:737.4pt;width:513.2pt;height:11.5pt;z-index:25167564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43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hAnsi="Arial" w:cs="Arial" w:eastAsia="Arial"/>
                      <w:snapToGrid w:val="0"/>
                      <w:sz w:val="20"/>
                      <w:szCs w:val="20"/>
                    </w:rPr>
                    <w:pStyle w:val="P68B1DB1-a2"/>
                  </w:pPr>
                  <w:r>
                    <w:t xml:space="preserve">Sprechen Sie mit Ihrem Vertriebsmitarbeiter von Western Digital, um mehr über die Anforderungen für die SMR-Einführung zu erfahren.</w:t>
                  </w:r>
                </w:p>
              </w:txbxContent>
            </v:textbox>
          </v:shape>
        </w:pict>
      </w:r>
      <w:r>
        <w:pict>
          <v:shape id="_x0000_s1042" type="#_x0000_t202" style="position:absolute;margin-left:271.8pt;margin-top:684.75pt;width:61.3pt;height:32.2pt;z-index:25167462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42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1"/>
                    <w:rPr>
                      <w:rFonts w:ascii="Arial" w:hAnsi="Arial" w:eastAsia="Arial"/>
                      <w:snapToGrid w:val="0"/>
                      <w:sz w:val="28"/>
                      <w:szCs w:val="28"/>
                    </w:rPr>
                    <w:pStyle w:val="P68B1DB1-a3"/>
                  </w:pPr>
                  <w:r>
                    <w:t>EINRICHTUNGSAUFWAND</w:t>
                  </w:r>
                </w:p>
              </w:txbxContent>
            </v:textbox>
          </v:shape>
        </w:pict>
      </w:r>
      <w:r>
        <w:pict>
          <v:shape id="_x0000_s1041" type="#_x0000_t202" style="position:absolute;margin-left:64.15pt;margin-top:688.4pt;width:187.65pt;height:37.95pt;z-index:25167360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41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2"/>
                    <w:rPr>
                      <w:rFonts w:ascii="Arial" w:hAnsi="Arial" w:eastAsia="Arial"/>
                      <w:snapToGrid w:val="0"/>
                    </w:rPr>
                    <w:pStyle w:val="P68B1DB1-a4"/>
                  </w:pPr>
                  <w:r>
                    <w:t>Gering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Arial" w:hAnsi="Arial" w:cs="Arial" w:eastAsia="Arial"/>
                      <w:snapToGrid w:val="0"/>
                    </w:rPr>
                    <w:pStyle w:val="P68B1DB1-a5"/>
                  </w:pPr>
                  <w:r>
                    <w:t xml:space="preserve">(Drop-in für einige Anwendungen)</w:t>
                  </w:r>
                </w:p>
              </w:txbxContent>
            </v:textbox>
          </v:shape>
        </w:pict>
      </w:r>
      <w:r>
        <w:pict>
          <v:shape id="_x0000_s1040" type="#_x0000_t202" style="position:absolute;margin-left:361.65pt;margin-top:688.4pt;width:187.65pt;height:25.3pt;z-index:25167257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40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2"/>
                    <w:rPr>
                      <w:rFonts w:ascii="Arial" w:hAnsi="Arial" w:eastAsia="Arial"/>
                      <w:snapToGrid w:val="0"/>
                    </w:rPr>
                    <w:pStyle w:val="P68B1DB1-a4"/>
                  </w:pPr>
                  <w:r>
                    <w:t>Hoch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Arial" w:hAnsi="Arial" w:cs="Arial" w:eastAsia="Arial"/>
                      <w:snapToGrid w:val="0"/>
                    </w:rPr>
                    <w:pStyle w:val="P68B1DB1-a5"/>
                  </w:pPr>
                  <w:r>
                    <w:t xml:space="preserve">(Erfordert kundenspezifische Software)</w:t>
                  </w:r>
                </w:p>
              </w:txbxContent>
            </v:textbox>
          </v:shape>
        </w:pict>
      </w:r>
      <w:r>
        <w:pict>
          <v:shape id="_x0000_s1039" type="#_x0000_t202" style="position:absolute;margin-left:361.45pt;margin-top:625.9pt;width:187.65pt;height:25.3pt;z-index:2516715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9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2"/>
                    <w:rPr>
                      <w:rFonts w:ascii="Arial" w:hAnsi="Arial" w:eastAsia="Arial"/>
                      <w:snapToGrid w:val="0"/>
                    </w:rPr>
                    <w:pStyle w:val="P68B1DB1-a4"/>
                  </w:pPr>
                  <w:r>
                    <w:t xml:space="preserve">SMR-HDDs funktionieren wie CMR-HDDs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Arial" w:hAnsi="Arial" w:eastAsia="Arial"/>
                      <w:snapToGrid w:val="0"/>
                    </w:rPr>
                    <w:pStyle w:val="P68B1DB1-a6"/>
                  </w:pPr>
                  <w:r>
                    <w:t xml:space="preserve">in einem breiteren Spektrum von Anwendungen.</w:t>
                  </w:r>
                </w:p>
              </w:txbxContent>
            </v:textbox>
          </v:shape>
        </w:pict>
      </w:r>
      <w:r>
        <w:pict>
          <v:shape id="_x0000_s1038" type="#_x0000_t202" style="position:absolute;margin-left:270.95pt;margin-top:629.8pt;width:65.8pt;height:16.1pt;z-index:25167052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8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1"/>
                    <w:rPr>
                      <w:rFonts w:ascii="Arial" w:hAnsi="Arial" w:eastAsia="Arial"/>
                      <w:snapToGrid w:val="0"/>
                      <w:sz w:val="28"/>
                      <w:szCs w:val="28"/>
                    </w:rPr>
                    <w:pStyle w:val="P68B1DB1-a3"/>
                  </w:pPr>
                  <w:r>
                    <w:t>VORTEIL</w:t>
                  </w:r>
                </w:p>
              </w:txbxContent>
            </v:textbox>
          </v:shape>
        </w:pict>
      </w:r>
      <w:r>
        <w:pict>
          <v:shape id="_x0000_s1037" type="#_x0000_t202" style="position:absolute;margin-left:62.2pt;margin-top:619.15pt;width:187.65pt;height:37.95pt;z-index:25166950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7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hAnsi="Arial" w:cs="Arial" w:eastAsia="Arial"/>
                      <w:snapToGrid w:val="0"/>
                    </w:rPr>
                    <w:pStyle w:val="P68B1DB1-a6"/>
                  </w:pPr>
                  <w:r>
                    <w:rPr>
                      <w:b/>
                    </w:rPr>
                    <w:t xml:space="preserve">Ermöglicht die „Drop-in“-Einführung von SMR-HDDs </w:t>
                  </w:r>
                  <w:r>
                    <w:t xml:space="preserve">mit einem schnelleren, kostengünstigen Weg für einige Anwendungen.</w:t>
                  </w:r>
                </w:p>
              </w:txbxContent>
            </v:textbox>
          </v:shape>
        </w:pict>
      </w:r>
      <w:r>
        <w:pict>
          <v:shape id="_x0000_s1036" type="#_x0000_t202" style="position:absolute;margin-left:361.1pt;margin-top:550.4pt;width:187.65pt;height:37.95pt;z-index:2516684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6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hAnsi="Arial" w:cs="Arial" w:eastAsia="Arial"/>
                      <w:snapToGrid w:val="0"/>
                    </w:rPr>
                    <w:pStyle w:val="P68B1DB1-a6"/>
                  </w:pPr>
                  <w:r>
                    <w:t xml:space="preserve">Ein </w:t>
                  </w:r>
                  <w:r>
                    <w:rPr>
                      <w:b/>
                    </w:rPr>
                    <w:t xml:space="preserve">kundenspezifisch entwickelter Software-Stack </w:t>
                  </w:r>
                  <w:r>
                    <w:t xml:space="preserve">, der optimiert ist, um SMR-Schreibregeln zu folgen.</w:t>
                  </w:r>
                </w:p>
              </w:txbxContent>
            </v:textbox>
          </v:shape>
        </w:pict>
      </w:r>
      <w:r>
        <w:pict>
          <v:shape id="_x0000_s1035" type="#_x0000_t202" style="position:absolute;margin-left:280.45pt;margin-top:551.7pt;width:50.2pt;height:32.2pt;z-index:2516674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5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1"/>
                    <w:rPr>
                      <w:rFonts w:ascii="Arial" w:hAnsi="Arial" w:eastAsia="Arial"/>
                      <w:snapToGrid w:val="0"/>
                      <w:sz w:val="28"/>
                      <w:szCs w:val="28"/>
                    </w:rPr>
                    <w:pStyle w:val="P68B1DB1-a3"/>
                  </w:pPr>
                  <w:r>
                    <w:t xml:space="preserve">AM BESTEN GEEIGNET FÜR</w:t>
                  </w:r>
                </w:p>
              </w:txbxContent>
            </v:textbox>
          </v:shape>
        </w:pict>
      </w:r>
      <w:r>
        <w:pict>
          <v:shape id="_x0000_s1034" type="#_x0000_t202" style="position:absolute;margin-left:64.15pt;margin-top:547.25pt;width:187.65pt;height:37.95pt;z-index:25166643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4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hAnsi="Arial" w:cs="Arial" w:eastAsia="Arial"/>
                      <w:snapToGrid w:val="0"/>
                    </w:rPr>
                    <w:pStyle w:val="P68B1DB1-a6"/>
                  </w:pPr>
                  <w:r>
                    <w:t xml:space="preserve">Bestehende Anwendungen, bei denen </w:t>
                  </w:r>
                  <w:r>
                    <w:rPr>
                      <w:b/>
                    </w:rPr>
                    <w:t xml:space="preserve">Schreibvorgänge stark sequenziell sind </w:t>
                  </w:r>
                  <w:r>
                    <w:t xml:space="preserve">oder </w:t>
                  </w:r>
                  <w:r>
                    <w:rPr>
                      <w:b/>
                    </w:rPr>
                    <w:t xml:space="preserve">Kaltlagerung </w:t>
                  </w:r>
                  <w:r>
                    <w:t xml:space="preserve">oder </w:t>
                  </w:r>
                  <w:r>
                    <w:rPr>
                      <w:b/>
                    </w:rPr>
                    <w:t xml:space="preserve">Smart Video</w:t>
                  </w:r>
                  <w:r>
                    <w:t>.</w:t>
                  </w:r>
                </w:p>
              </w:txbxContent>
            </v:textbox>
          </v:shape>
        </w:pict>
      </w:r>
      <w:r>
        <w:pict>
          <v:shape id="_x0000_s1033" type="#_x0000_t202" style="position:absolute;margin-left:355.9pt;margin-top:376.75pt;width:187.65pt;height:25.3pt;z-index:2516654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a67"/>
                    <w:adjustRightInd w:val="0"/>
                    <w:snapToGrid w:val="0"/>
                    <w:ind w:left="0"/>
                    <w:jc w:val="center"/>
                    <w:rPr>
                      <w:snapToGrid w:val="0"/>
                    </w:rPr>
                  </w:pPr>
                  <w:r>
                    <w:t xml:space="preserve">Kunde schreibt den gesamten Software-Stack neu, um SMR-HDDs zu verwenden</w:t>
                  </w:r>
                </w:p>
              </w:txbxContent>
            </v:textbox>
          </v:shape>
        </w:pict>
      </w:r>
      <w:r>
        <w:pict>
          <v:shape id="_x0000_s1032" type="#_x0000_t202" style="position:absolute;margin-left:68.5pt;margin-top:387.75pt;width:187.65pt;height:37.95pt;z-index:25166438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a67"/>
                    <w:adjustRightInd w:val="0"/>
                    <w:snapToGrid w:val="0"/>
                    <w:ind w:left="0"/>
                    <w:jc w:val="center"/>
                    <w:rPr>
                      <w:snapToGrid w:val="0"/>
                    </w:rPr>
                  </w:pPr>
                  <w:r>
                    <w:t xml:space="preserve">Die Verwendung des „btrfs“-Dateisystems „versteckt“ die SMR-Komplexität und ermöglicht den direkten Einsatz ausgewählter älterer Anwendungen</w:t>
                  </w:r>
                </w:p>
              </w:txbxContent>
            </v:textbox>
          </v:shape>
        </w:pict>
      </w:r>
      <w:r>
        <w:pict>
          <v:shape id="_x0000_s1031" type="#_x0000_t202" style="position:absolute;margin-left:349.7pt;margin-top:278.55pt;width:201.55pt;height:20.7pt;z-index:2516633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hAnsi="Arial" w:cs="Arial" w:eastAsia="Arial"/>
                      <w:snapToGrid w:val="0"/>
                      <w:sz w:val="36"/>
                      <w:szCs w:val="36"/>
                    </w:rPr>
                  </w:pPr>
                  <w:r>
                    <w:t>SMR-Bewusst</w:t>
                  </w:r>
                </w:p>
              </w:txbxContent>
            </v:textbox>
          </v:shape>
        </w:pict>
      </w:r>
      <w:r>
        <w:pict>
          <v:shape id="_x0000_s1030" type="#_x0000_t202" style="position:absolute;margin-left:65.9pt;margin-top:278.4pt;width:201.55pt;height:20.7pt;z-index:2516623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1"/>
                    <w:adjustRightInd w:val="0"/>
                    <w:snapToGrid w:val="0"/>
                    <w:spacing w:before="0"/>
                    <w:ind w:left="0"/>
                    <w:rPr>
                      <w:snapToGrid w:val="0"/>
                    </w:rPr>
                  </w:pPr>
                  <w:r>
                    <w:t>SMR-Freundlich</w:t>
                  </w:r>
                </w:p>
              </w:txbxContent>
            </v:textbox>
          </v:shape>
        </w:pict>
      </w:r>
      <w:r>
        <w:pict>
          <v:shape id="_x0000_s1029" type="#_x0000_t202" style="position:absolute;margin-left:45.3pt;margin-top:183.5pt;width:522.6pt;height:57.9pt;z-index:251661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hAnsi="Arial" w:cs="Arial" w:eastAsia="Arial"/>
                      <w:snapToGrid w:val="0"/>
                    </w:rPr>
                  </w:pPr>
                  <w:r>
                    <w:rPr>
                      <w:b/>
                    </w:rPr>
                    <w:t xml:space="preserve">Host-managed Shingled Magnetic Recording </w:t>
                  </w:r>
                  <w:r>
                    <w:t>(</w:t>
                  </w:r>
                  <w:r>
                    <w:rPr>
                      <w:b/>
                    </w:rPr>
                    <w:t>SMR</w:t>
                  </w:r>
                  <w:r>
                    <w:t xml:space="preserve">)-Festplatten liefern Kapazitätsniveaus der nächsten Generation, eine verbesserte Systemdichte und einen effizienteren Platzbedarf für Ihr Rechenzentrum.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2"/>
                      <w:szCs w:val="12"/>
                    </w:rPr>
                  </w:pPr>
                </w:p>
                <w:p>
                  <w:pPr>
                    <w:pStyle w:val="a6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>
                    <w:t xml:space="preserve">Bevor Sie diese Technologie einführen, bestimmen Sie, ob eine „</w:t>
                  </w:r>
                  <w:r>
                    <w:rPr>
                      <w:rFonts w:cs="Arial"/>
                      <w:b/>
                    </w:rPr>
                    <w:t>SMR-freundliche</w:t>
                  </w:r>
                  <w:r>
                    <w:t xml:space="preserve">“ oder „</w:t>
                  </w:r>
                  <w:r>
                    <w:rPr>
                      <w:rFonts w:cs="Arial"/>
                      <w:b/>
                    </w:rPr>
                    <w:t>SMR-bewusste</w:t>
                  </w:r>
                  <w:r>
                    <w:t xml:space="preserve">“ Einführungsstrategie am besten für Ihre Linux-basierte Anwendung geeignet ist.</w:t>
                  </w:r>
                </w:p>
              </w:txbxContent>
            </v:textbox>
          </v:shape>
        </w:pict>
      </w:r>
      <w:r>
        <w:pict>
          <v:shape id="_x0000_s1028" type="#_x0000_t202" style="position:absolute;margin-left:471.1pt;margin-top:9.75pt;width:113.95pt;height:17.25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hAnsi="Arial" w:cs="Arial" w:eastAsia="Arial"/>
                      <w:snapToGrid w:val="0"/>
                      <w:color w:val="FFFFFF" w:themeColor="background1"/>
                      <w:sz w:val="30"/>
                      <w:szCs w:val="30"/>
                    </w:rPr>
                    <w:pStyle w:val="P68B1DB1-a8"/>
                  </w:pPr>
                  <w:r>
                    <w:t xml:space="preserve">Western Digital</w:t>
                  </w:r>
                </w:p>
              </w:txbxContent>
            </v:textbox>
          </v:shape>
        </w:pict>
      </w:r>
      <w:r>
        <w:pict>
          <v:shape id="文本框 2" o:spid="_x0000_s1027" type="#_x0000_t202" style="position:absolute;margin-left:44pt;margin-top:40.7pt;width:317.55pt;height:126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hAnsi="Arial" w:cs="Arial" w:eastAsia="Arial"/>
                      <w:snapToGrid w:val="0"/>
                      <w:sz w:val="80"/>
                      <w:szCs w:val="80"/>
                    </w:rPr>
                    <w:pStyle w:val="P68B1DB1-a8"/>
                  </w:pPr>
                  <w:r>
                    <w:t xml:space="preserve">SMR-Freundlich vs. SMR-Bewusst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8"/>
                      <w:szCs w:val="18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Arial" w:hAnsi="Arial" w:cs="Arial" w:eastAsia="Arial"/>
                      <w:snapToGrid w:val="0"/>
                      <w:sz w:val="40"/>
                      <w:szCs w:val="40"/>
                    </w:rPr>
                    <w:pStyle w:val="P68B1DB1-a9"/>
                  </w:pPr>
                  <w:r>
                    <w:t xml:space="preserve">Zwei Wege für die Einführung von SMR-HDDs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7772087" cy="10057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graphic - SMR-Friendly vs SMR-Aware - July 20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087" cy="100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52596"/>
    <w:rsid w:val="00052596"/>
    <w:rsid w:val="00191A13"/>
    <w:rsid w:val="009C053A"/>
    <w:rsid w:val="009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widowControl w:val="0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Char"/>
    <w:uiPriority w:val="1"/>
    <w:qFormat/>
    <w:rsid w:val="009C053A"/>
    <w:pPr>
      <w:spacing w:before="32"/>
      <w:ind w:left="1051"/>
      <w:outlineLvl w:val="0"/>
    </w:pPr>
    <w:rPr>
      <w:rFonts w:ascii="Arial" w:hAnsi="Arial" w:eastAsia="Arial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053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 w:eastAsiaTheme="majorEastAs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05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9C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05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05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053A"/>
    <w:rPr>
      <w:sz w:val="18"/>
      <w:szCs w:val="18"/>
    </w:rPr>
  </w:style>
  <w:style w:type="paragraph" w:styleId="a6">
    <w:name w:val="Body Text"/>
    <w:basedOn w:val="a"/>
    <w:link w:val="Char1"/>
    <w:uiPriority w:val="1"/>
    <w:qFormat/>
    <w:rsid w:val="009C053A"/>
    <w:pPr>
      <w:ind w:left="1267"/>
    </w:pPr>
    <w:rPr>
      <w:rFonts w:ascii="Arial" w:hAnsi="Arial" w:eastAsia="Arial"/>
    </w:rPr>
  </w:style>
  <w:style w:type="character" w:customStyle="1" w:styleId="Char1">
    <w:name w:val="正文文本 Char"/>
    <w:basedOn w:val="a0"/>
    <w:link w:val="a6"/>
    <w:uiPriority w:val="1"/>
    <w:rsid w:val="009C053A"/>
    <w:rPr>
      <w:rFonts w:ascii="Arial" w:hAnsi="Arial" w:eastAsia="Arial"/>
    </w:rPr>
  </w:style>
  <w:style w:type="character" w:customStyle="1" w:styleId="1Char">
    <w:name w:val="标题 1 Char"/>
    <w:basedOn w:val="a0"/>
    <w:link w:val="1"/>
    <w:uiPriority w:val="1"/>
    <w:rsid w:val="009C053A"/>
    <w:rPr>
      <w:rFonts w:ascii="Arial" w:hAnsi="Arial" w:eastAsia="Arial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9C053A"/>
    <w:rPr>
      <w:rFonts w:asciiTheme="majorHAnsi" w:hAnsiTheme="majorHAnsi" w:cstheme="majorBidi" w:eastAsiaTheme="majorEastAs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053A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91A1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1A13"/>
    <w:rPr>
      <w:sz w:val="18"/>
      <w:szCs w:val="18"/>
    </w:rPr>
  </w:style>
  <w:style w:type="paragraph" w:styleId="P68B1DB1-a1">
    <w:name w:val="P68B1DB1-a1"/>
    <w:basedOn w:val="a"/>
    <w:rPr>
      <w:rFonts w:asciiTheme="minorHAnsi" w:hint="eastAsia"/>
      <w:color w:val="BBBBBB"/>
      <w:sz w:val="14"/>
      <w:szCs w:val="14"/>
    </w:rPr>
  </w:style>
  <w:style w:type="paragraph" w:styleId="P68B1DB1-a2">
    <w:name w:val="P68B1DB1-a2"/>
    <w:basedOn w:val="a"/>
    <w:rPr>
      <w:i/>
      <w:color w:val="595959"/>
    </w:rPr>
  </w:style>
  <w:style w:type="paragraph" w:styleId="P68B1DB1-a3">
    <w:name w:val="P68B1DB1-a3"/>
    <w:basedOn w:val="a"/>
    <w:rPr>
      <w:b/>
      <w:color w:val="595959"/>
    </w:rPr>
  </w:style>
  <w:style w:type="paragraph" w:styleId="P68B1DB1-a4">
    <w:name w:val="P68B1DB1-a4"/>
    <w:basedOn w:val="a"/>
    <w:rPr>
      <w:b/>
      <w:color w:val="262626"/>
    </w:rPr>
  </w:style>
  <w:style w:type="paragraph" w:styleId="P68B1DB1-a5">
    <w:name w:val="P68B1DB1-a5"/>
    <w:basedOn w:val="a"/>
    <w:rPr>
      <w:i/>
      <w:color w:val="262626"/>
    </w:rPr>
  </w:style>
  <w:style w:type="paragraph" w:styleId="P68B1DB1-a6">
    <w:name w:val="P68B1DB1-a6"/>
    <w:basedOn w:val="a"/>
    <w:rPr>
      <w:color w:val="262626"/>
    </w:rPr>
  </w:style>
  <w:style w:type="paragraph" w:styleId="P68B1DB1-a67">
    <w:name w:val="P68B1DB1-a67"/>
    <w:basedOn w:val="a6"/>
    <w:rPr>
      <w:color w:val="262626"/>
    </w:rPr>
  </w:style>
  <w:style w:type="paragraph" w:styleId="P68B1DB1-a8">
    <w:name w:val="P68B1DB1-a8"/>
    <w:basedOn w:val="a"/>
    <w:rPr>
      <w:b/>
    </w:rPr>
  </w:style>
  <w:style w:type="paragraph" w:styleId="P68B1DB1-a9">
    <w:name w:val="P68B1DB1-a9"/>
    <w:basedOn w:val="a"/>
    <w:rPr>
      <w:color w:val="7F7F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2023-07-28T18:31:00Z</dcterms:created>
  <dcterms:modified xsi:type="dcterms:W3CDTF">2023-07-28T10:43:00Z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LastSaved">
    <vt:filetime>2023-07-28T00:00:00Z</vt:filetime>
  </property>
</Properties>
</file>