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417.7pt;margin-top:185.7pt;width:119.6pt;height:27.6pt;z-index:2516664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fit-shape-to-text:t" inset="0,0,0,0">
              <w:txbxContent>
                <w:p>
                  <w:pPr>
                    <w:adjustRightInd w:val="0"/>
                    <w:snapToGrid w:val="0"/>
                    <w:rPr>
                      <w:rFonts w:ascii="Arial" w:hAnsi="Arial" w:cs="Arial" w:eastAsia="Arial"/>
                      <w:snapToGrid w:val="0"/>
                      <w:sz w:val="48"/>
                      <w:szCs w:val="48"/>
                    </w:rPr>
                    <w:pStyle w:val="P68B1DB1-a1"/>
                  </w:pPr>
                  <w:r>
                    <w:t>Wohin</w:t>
                  </w:r>
                </w:p>
              </w:txbxContent>
            </v:textbox>
          </v:shape>
        </w:pict>
      </w:r>
      <w:r>
        <w:pict>
          <v:shape id="_x0000_s1035" type="#_x0000_t202" style="position:absolute;margin-left:420.85pt;margin-top:282.25pt;width:119.6pt;height:32.2pt;z-index:2516674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fit-shape-to-text:t" inset="0,0,0,0">
              <w:txbxContent>
                <w:p>
                  <w:pPr>
                    <w:adjustRightInd w:val="0"/>
                    <w:snapToGrid w:val="0"/>
                    <w:jc w:val="center"/>
                    <w:rPr>
                      <w:rFonts w:ascii="Arial" w:hAnsi="Arial" w:cs="Arial" w:eastAsia="Arial"/>
                      <w:snapToGrid w:val="0"/>
                      <w:sz w:val="28"/>
                      <w:szCs w:val="28"/>
                    </w:rPr>
                    <w:pStyle w:val="P68B1DB1-a1"/>
                  </w:pPr>
                  <w:r>
                    <w:t xml:space="preserve">in Linux- und btrfs-Umgebungen</w:t>
                  </w:r>
                </w:p>
              </w:txbxContent>
            </v:textbox>
          </v:shape>
        </w:pict>
      </w:r>
      <w:r>
        <w:pict>
          <v:shape id="_x0000_s1036" type="#_x0000_t202" style="position:absolute;margin-left:474.6pt;margin-top:208.1pt;width:82pt;height:73.6pt;z-index:25166848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fit-shape-to-text:t" inset="0,0,0,0">
              <w:txbxContent>
                <w:p>
                  <w:pPr>
                    <w:pStyle w:val="P68B1DB1-a62"/>
                    <w:adjustRightInd w:val="0"/>
                    <w:snapToGrid w:val="0"/>
                    <w:ind w:left="0"/>
                    <w:rPr>
                      <w:rFonts w:eastAsiaTheme="minorEastAsia" w:hint="eastAsia"/>
                      <w:b/>
                      <w:snapToGrid w:val="0"/>
                      <w:color w:val="BF43C0"/>
                      <w:sz w:val="64"/>
                      <w:szCs w:val="64"/>
                    </w:rPr>
                  </w:pPr>
                  <w:r>
                    <w:t xml:space="preserve">SMR verkaufen</w:t>
                  </w:r>
                </w:p>
              </w:txbxContent>
            </v:textbox>
          </v:shape>
        </w:pict>
      </w:r>
      <w:r>
        <w:pict>
          <v:shape id="_x0000_s1040" type="#_x0000_t202" style="position:absolute;margin-left:812.95pt;margin-top:7.7pt;width:104.85pt;height:16.1pt;z-index:25167257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fit-shape-to-text:t" inset="0,0,0,0">
              <w:txbxContent>
                <w:p>
                  <w:pPr>
                    <w:pStyle w:val="P68B1DB1-a62"/>
                    <w:adjustRightInd w:val="0"/>
                    <w:snapToGrid w:val="0"/>
                    <w:ind w:left="0"/>
                    <w:jc w:val="center"/>
                    <w:rPr>
                      <w:rFonts w:eastAsiaTheme="minorEastAsia" w:hint="eastAsia"/>
                      <w:b/>
                      <w:snapToGrid w:val="0"/>
                      <w:color w:val="FFFFFF" w:themeColor="background1"/>
                      <w:sz w:val="28"/>
                    </w:rPr>
                  </w:pPr>
                  <w:r>
                    <w:t xml:space="preserve">Western Digital</w:t>
                  </w:r>
                </w:p>
              </w:txbxContent>
            </v:textbox>
          </v:shape>
        </w:pict>
      </w:r>
      <w:r>
        <w:pict>
          <v:shape id="_x0000_s1028" type="#_x0000_t202" style="position:absolute;margin-left:139.7pt;margin-top:148.45pt;width:226pt;height:36.7pt;z-index:25166028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fit-shape-to-text:t" inset="0,0,0,0">
              <w:txbxContent>
                <w:p>
                  <w:pPr>
                    <w:pStyle w:val="P68B1DB1-13"/>
                    <w:adjustRightInd w:val="0"/>
                    <w:snapToGrid w:val="0"/>
                    <w:ind w:left="0"/>
                    <w:jc w:val="right"/>
                    <w:rPr>
                      <w:b w:val="0"/>
                      <w:bCs w:val="0"/>
                      <w:snapToGrid w:val="0"/>
                    </w:rPr>
                  </w:pPr>
                  <w:r>
                    <w:t xml:space="preserve">Intelligente Video- / Überwachung</w:t>
                  </w:r>
                </w:p>
                <w:p>
                  <w:pPr>
                    <w:adjustRightInd w:val="0"/>
                    <w:snapToGrid w:val="0"/>
                    <w:jc w:val="right"/>
                    <w:rPr>
                      <w:snapToGrid w:val="0"/>
                      <w:sz w:val="13"/>
                      <w:szCs w:val="13"/>
                    </w:rPr>
                  </w:pPr>
                </w:p>
                <w:p>
                  <w:pPr>
                    <w:pStyle w:val="P68B1DB1-a64"/>
                    <w:adjustRightInd w:val="0"/>
                    <w:snapToGrid w:val="0"/>
                    <w:ind w:left="0"/>
                    <w:jc w:val="right"/>
                    <w:rPr>
                      <w:snapToGrid w:val="0"/>
                    </w:rPr>
                  </w:pPr>
                  <w:r>
                    <w:t xml:space="preserve">Kunden haben SMR aktiv getestet</w:t>
                  </w:r>
                </w:p>
              </w:txbxContent>
            </v:textbox>
          </v:shape>
        </w:pict>
      </w:r>
      <w:r>
        <w:pict>
          <v:shape id="_x0000_s1029" type="#_x0000_t202" style="position:absolute;margin-left:116.25pt;margin-top:234.2pt;width:234.1pt;height:36.7pt;z-index:251661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fit-shape-to-text:t" inset="0,0,0,0">
              <w:txbxContent>
                <w:p>
                  <w:pPr>
                    <w:pStyle w:val="P68B1DB1-15"/>
                    <w:adjustRightInd w:val="0"/>
                    <w:snapToGrid w:val="0"/>
                    <w:ind w:left="0"/>
                    <w:jc w:val="right"/>
                    <w:rPr>
                      <w:b w:val="0"/>
                      <w:bCs w:val="0"/>
                      <w:snapToGrid w:val="0"/>
                    </w:rPr>
                  </w:pPr>
                  <w:r>
                    <w:t xml:space="preserve">Kalt- / Archivspeicher</w:t>
                  </w:r>
                </w:p>
                <w:p>
                  <w:pPr>
                    <w:adjustRightInd w:val="0"/>
                    <w:snapToGrid w:val="0"/>
                    <w:jc w:val="right"/>
                    <w:rPr>
                      <w:snapToGrid w:val="0"/>
                      <w:sz w:val="13"/>
                      <w:szCs w:val="13"/>
                    </w:rPr>
                  </w:pPr>
                </w:p>
                <w:p>
                  <w:pPr>
                    <w:pStyle w:val="P68B1DB1-a64"/>
                    <w:adjustRightInd w:val="0"/>
                    <w:snapToGrid w:val="0"/>
                    <w:ind w:left="0"/>
                    <w:jc w:val="right"/>
                    <w:rPr>
                      <w:snapToGrid w:val="0"/>
                    </w:rPr>
                  </w:pPr>
                  <w:r>
                    <w:t xml:space="preserve">„Write once, read many“ (WORM)-Anwendungen</w:t>
                  </w:r>
                </w:p>
              </w:txbxContent>
            </v:textbox>
          </v:shape>
        </w:pict>
      </w:r>
      <w:r>
        <w:pict>
          <v:shape id="_x0000_s1030" type="#_x0000_t202" style="position:absolute;margin-left:151.85pt;margin-top:317.7pt;width:224.1pt;height:36.7pt;z-index:2516623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fit-shape-to-text:t" inset="0,0,0,0">
              <w:txbxContent>
                <w:p>
                  <w:pPr>
                    <w:pStyle w:val="P68B1DB1-16"/>
                    <w:adjustRightInd w:val="0"/>
                    <w:snapToGrid w:val="0"/>
                    <w:ind w:left="0"/>
                    <w:jc w:val="right"/>
                    <w:rPr>
                      <w:b w:val="0"/>
                      <w:bCs w:val="0"/>
                      <w:snapToGrid w:val="0"/>
                    </w:rPr>
                  </w:pPr>
                  <w:r>
                    <w:t xml:space="preserve">Speicherbasierte Kryptowährung</w:t>
                  </w:r>
                </w:p>
                <w:p>
                  <w:pPr>
                    <w:adjustRightInd w:val="0"/>
                    <w:snapToGrid w:val="0"/>
                    <w:jc w:val="right"/>
                    <w:rPr>
                      <w:snapToGrid w:val="0"/>
                      <w:sz w:val="13"/>
                      <w:szCs w:val="13"/>
                    </w:rPr>
                  </w:pPr>
                </w:p>
                <w:p>
                  <w:pPr>
                    <w:pStyle w:val="P68B1DB1-a64"/>
                    <w:adjustRightInd w:val="0"/>
                    <w:snapToGrid w:val="0"/>
                    <w:ind w:left="0"/>
                    <w:jc w:val="right"/>
                    <w:rPr>
                      <w:snapToGrid w:val="0"/>
                    </w:rPr>
                  </w:pPr>
                  <w:r>
                    <w:t xml:space="preserve">Chia hat SMR erfolgreich getestet</w:t>
                  </w:r>
                </w:p>
              </w:txbxContent>
            </v:textbox>
          </v:shape>
        </w:pict>
      </w:r>
      <w:r>
        <w:pict>
          <v:shape id="_x0000_s1033" type="#_x0000_t202" style="position:absolute;margin-left:581.25pt;margin-top:318.85pt;width:212.25pt;height:36.7pt;z-index:2516654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fit-shape-to-text:t" inset="0,0,0,0">
              <w:txbxContent>
                <w:p>
                  <w:pPr>
                    <w:pStyle w:val="P68B1DB1-16"/>
                    <w:adjustRightInd w:val="0"/>
                    <w:snapToGrid w:val="0"/>
                    <w:ind w:left="0"/>
                    <w:rPr>
                      <w:b w:val="0"/>
                      <w:bCs w:val="0"/>
                      <w:snapToGrid w:val="0"/>
                    </w:rPr>
                  </w:pPr>
                  <w:r>
                    <w:t xml:space="preserve">Ceph-basierter Objektspeicher</w:t>
                  </w:r>
                </w:p>
                <w:p>
                  <w:pPr>
                    <w:adjustRightInd w:val="0"/>
                    <w:snapToGrid w:val="0"/>
                    <w:rPr>
                      <w:snapToGrid w:val="0"/>
                      <w:sz w:val="13"/>
                      <w:szCs w:val="13"/>
                    </w:rPr>
                  </w:pPr>
                </w:p>
                <w:p>
                  <w:pPr>
                    <w:pStyle w:val="P68B1DB1-a64"/>
                    <w:adjustRightInd w:val="0"/>
                    <w:snapToGrid w:val="0"/>
                    <w:ind w:left="0"/>
                    <w:rPr>
                      <w:snapToGrid w:val="0"/>
                    </w:rPr>
                  </w:pPr>
                  <w:r>
                    <w:t xml:space="preserve">Native Unterstützung wird 2024 verfügbar sein</w:t>
                  </w:r>
                </w:p>
              </w:txbxContent>
            </v:textbox>
          </v:shape>
        </w:pict>
      </w:r>
      <w:r>
        <w:pict>
          <v:shape id="_x0000_s1032" type="#_x0000_t202" style="position:absolute;margin-left:607.85pt;margin-top:235pt;width:204.75pt;height:36.7pt;z-index:25166438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fit-shape-to-text:t" inset="0,0,0,0">
              <w:txbxContent>
                <w:p>
                  <w:pPr>
                    <w:pStyle w:val="P68B1DB1-15"/>
                    <w:adjustRightInd w:val="0"/>
                    <w:snapToGrid w:val="0"/>
                    <w:ind w:left="0"/>
                    <w:rPr>
                      <w:b w:val="0"/>
                      <w:bCs w:val="0"/>
                      <w:snapToGrid w:val="0"/>
                    </w:rPr>
                  </w:pPr>
                  <w:r>
                    <w:t>Inhaltsverteilungsnetzwerke</w:t>
                  </w:r>
                </w:p>
                <w:p>
                  <w:pPr>
                    <w:adjustRightInd w:val="0"/>
                    <w:snapToGrid w:val="0"/>
                    <w:rPr>
                      <w:snapToGrid w:val="0"/>
                      <w:sz w:val="13"/>
                      <w:szCs w:val="13"/>
                    </w:rPr>
                  </w:pPr>
                </w:p>
                <w:p>
                  <w:pPr>
                    <w:pStyle w:val="P68B1DB1-a64"/>
                    <w:adjustRightInd w:val="0"/>
                    <w:snapToGrid w:val="0"/>
                    <w:ind w:left="0"/>
                    <w:rPr>
                      <w:snapToGrid w:val="0"/>
                    </w:rPr>
                  </w:pPr>
                  <w:r>
                    <w:t xml:space="preserve">Anwendungen mit geringer Schreib- und hoher Leseaktivität</w:t>
                  </w:r>
                </w:p>
              </w:txbxContent>
            </v:textbox>
          </v:shape>
        </w:pict>
      </w:r>
      <w:r>
        <w:pict>
          <v:shape id="_x0000_s1031" type="#_x0000_t202" style="position:absolute;margin-left:589.15pt;margin-top:149.4pt;width:255.4pt;height:36.7pt;z-index:2516633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fit-shape-to-text:t" inset="0,0,0,0">
              <w:txbxContent>
                <w:p>
                  <w:pPr>
                    <w:pStyle w:val="P68B1DB1-13"/>
                    <w:adjustRightInd w:val="0"/>
                    <w:snapToGrid w:val="0"/>
                    <w:ind w:left="0"/>
                    <w:rPr>
                      <w:b w:val="0"/>
                      <w:bCs w:val="0"/>
                      <w:snapToGrid w:val="0"/>
                    </w:rPr>
                  </w:pPr>
                  <w:r>
                    <w:t xml:space="preserve">Ausgewählter Cloud-Speicher</w:t>
                  </w:r>
                </w:p>
                <w:p>
                  <w:pPr>
                    <w:adjustRightInd w:val="0"/>
                    <w:snapToGrid w:val="0"/>
                    <w:rPr>
                      <w:snapToGrid w:val="0"/>
                      <w:sz w:val="13"/>
                      <w:szCs w:val="13"/>
                    </w:rPr>
                  </w:pPr>
                </w:p>
                <w:p>
                  <w:pPr>
                    <w:pStyle w:val="P68B1DB1-a64"/>
                    <w:adjustRightInd w:val="0"/>
                    <w:snapToGrid w:val="0"/>
                    <w:ind w:left="0"/>
                    <w:rPr>
                      <w:snapToGrid w:val="0"/>
                    </w:rPr>
                  </w:pPr>
                  <w:r>
                    <w:t xml:space="preserve">Mit Versionierung werden Bearbeitungen nicht direkt überschrieben</w:t>
                  </w:r>
                </w:p>
              </w:txbxContent>
            </v:textbox>
          </v:shape>
        </w:pict>
      </w:r>
      <w:r>
        <w:pict>
          <v:shape id="_x0000_s1027" type="#_x0000_t202" style="position:absolute;margin-left:359.8pt;margin-top:78.2pt;width:236.65pt;height:49.35pt;z-index:25165926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fit-shape-to-text:t" inset="0,0,0,0">
              <w:txbxContent>
                <w:p>
                  <w:pPr>
                    <w:pStyle w:val="P68B1DB1-17"/>
                    <w:adjustRightInd w:val="0"/>
                    <w:snapToGrid w:val="0"/>
                    <w:ind w:left="0"/>
                    <w:jc w:val="center"/>
                    <w:rPr>
                      <w:b w:val="0"/>
                      <w:bCs w:val="0"/>
                      <w:snapToGrid w:val="0"/>
                    </w:rPr>
                  </w:pPr>
                  <w:r>
                    <w:t>Cloud-Backup</w:t>
                  </w:r>
                </w:p>
                <w:p>
                  <w:pPr>
                    <w:adjustRightInd w:val="0"/>
                    <w:snapToGrid w:val="0"/>
                    <w:rPr>
                      <w:snapToGrid w:val="0"/>
                      <w:sz w:val="13"/>
                      <w:szCs w:val="13"/>
                    </w:rPr>
                  </w:pPr>
                </w:p>
                <w:p>
                  <w:pPr>
                    <w:pStyle w:val="P68B1DB1-a64"/>
                    <w:adjustRightInd w:val="0"/>
                    <w:snapToGrid w:val="0"/>
                    <w:ind w:left="0"/>
                    <w:jc w:val="center"/>
                    <w:rPr>
                      <w:snapToGrid w:val="0"/>
                    </w:rPr>
                  </w:pPr>
                  <w:r>
                    <w:t xml:space="preserve">Im Jahr 2019 wurde Dropbox das 1</w:t>
                  </w:r>
                  <w:r>
                    <w:rPr>
                      <w:vertAlign w:val="superscript"/>
                    </w:rPr>
                    <w:t>ste</w:t>
                  </w:r>
                  <w:r>
                    <w:t xml:space="preserve"> große Technologieunternehmen der Welt, das SMR erfolgreich einführte</w:t>
                  </w:r>
                </w:p>
              </w:txbxContent>
            </v:textbox>
          </v:shape>
        </w:pict>
      </w:r>
      <w:r>
        <w:pict>
          <v:shape id="_x0000_s1039" type="#_x0000_t202" style="position:absolute;margin-left:17.2pt;margin-top:524.8pt;width:549.75pt;height:8.05pt;z-index:25167155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fit-shape-to-text:t" inset="0,0,0,0">
              <w:txbxContent>
                <w:p>
                  <w:pPr>
                    <w:adjustRightInd w:val="0"/>
                    <w:snapToGrid w:val="0"/>
                    <w:jc w:val="distribute"/>
                    <w:rPr>
                      <w:rFonts w:ascii="Arial" w:hAnsi="Arial" w:cs="Arial" w:eastAsia="Arial"/>
                      <w:snapToGrid w:val="0"/>
                      <w:sz w:val="14"/>
                      <w:szCs w:val="14"/>
                    </w:rPr>
                    <w:pStyle w:val="P68B1DB1-a8"/>
                  </w:pPr>
                  <w:r>
                    <w:t xml:space="preserve">© 2023 WESTERN DIGITAL CORPORATION ODER IHRE TOCHTERGESELLSCHAFTEN ALLE RECHTE VORBEHALTEN | WESTERN DIGITAL VERTRAULICH</w:t>
                  </w:r>
                </w:p>
              </w:txbxContent>
            </v:textbox>
          </v:shape>
        </w:pict>
      </w:r>
      <w:r>
        <w:pict>
          <v:shape id="_x0000_s1037" type="#_x0000_t202" style="position:absolute;margin-left:31.35pt;margin-top:392.8pt;width:534.65pt;height:100.3pt;z-index:25166950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fit-shape-to-text:t" inset="0,0,0,0">
              <w:txbxContent>
                <w:p>
                  <w:pPr>
                    <w:adjustRightInd w:val="0"/>
                    <w:snapToGrid w:val="0"/>
                    <w:outlineLvl w:val="1"/>
                    <w:rPr>
                      <w:rFonts w:ascii="Arial" w:hAnsi="Arial" w:eastAsia="Arial"/>
                      <w:snapToGrid w:val="0"/>
                    </w:rPr>
                    <w:pStyle w:val="P68B1DB1-a9"/>
                  </w:pPr>
                  <w:r>
                    <w:t xml:space="preserve">SMR Kurze Fakten</w:t>
                  </w:r>
                </w:p>
                <w:p>
                  <w:pPr>
                    <w:adjustRightInd w:val="0"/>
                    <w:snapToGrid w:val="0"/>
                    <w:rPr>
                      <w:snapToGrid w:val="0"/>
                      <w:sz w:val="10"/>
                      <w:szCs w:val="10"/>
                    </w:rPr>
                  </w:pPr>
                </w:p>
                <w:p>
                  <w:pPr>
                    <w:adjustRightInd w:val="0"/>
                    <w:snapToGrid w:val="0"/>
                    <w:ind w:left="279" w:hangingChars="127" w:hanging="279"/>
                    <w:rPr>
                      <w:rFonts w:ascii="Arial" w:hAnsi="Arial" w:cs="Arial" w:eastAsia="Arial"/>
                      <w:snapToGrid w:val="0"/>
                    </w:rPr>
                    <w:pStyle w:val="P68B1DB1-a10"/>
                  </w:pPr>
                  <w:r>
                    <w:t>•</w:t>
                    <w:tab/>
                  </w:r>
                  <w:r>
                    <w:rPr>
                      <w:b/>
                    </w:rPr>
                    <w:t xml:space="preserve">Shingled Magnetic Recording (SMR) </w:t>
                  </w:r>
                  <w:r>
                    <w:t xml:space="preserve">passt mehr Daten auf eine Festplatte, indem Daten in überlappenden Spuren wie Schindeln auf einem Dach geschrieben werden.</w:t>
                  </w:r>
                </w:p>
                <w:p>
                  <w:pPr>
                    <w:adjustRightInd w:val="0"/>
                    <w:snapToGrid w:val="0"/>
                    <w:ind w:left="127" w:hangingChars="127" w:hanging="127"/>
                    <w:rPr>
                      <w:snapToGrid w:val="0"/>
                      <w:sz w:val="10"/>
                      <w:szCs w:val="10"/>
                    </w:rPr>
                  </w:pPr>
                </w:p>
                <w:p>
                  <w:pPr>
                    <w:adjustRightInd w:val="0"/>
                    <w:snapToGrid w:val="0"/>
                    <w:ind w:left="279" w:hangingChars="127" w:hanging="279"/>
                    <w:rPr>
                      <w:rFonts w:ascii="Arial" w:hAnsi="Arial" w:cs="Arial" w:eastAsia="Arial"/>
                      <w:snapToGrid w:val="0"/>
                    </w:rPr>
                    <w:pStyle w:val="P68B1DB1-a10"/>
                  </w:pPr>
                  <w:r>
                    <w:t>•</w:t>
                    <w:tab/>
                  </w:r>
                  <w:r>
                    <w:rPr>
                      <w:b/>
                    </w:rPr>
                    <w:t xml:space="preserve">Daten müssen sequenziell </w:t>
                  </w:r>
                  <w:r>
                    <w:t xml:space="preserve">(der Reihe nach) geschrieben werden, können aber zufällig wie eine herkömmliche CMR-HDD gelesen werden.</w:t>
                  </w:r>
                </w:p>
                <w:p>
                  <w:pPr>
                    <w:adjustRightInd w:val="0"/>
                    <w:snapToGrid w:val="0"/>
                    <w:ind w:left="127" w:hangingChars="127" w:hanging="127"/>
                    <w:rPr>
                      <w:snapToGrid w:val="0"/>
                      <w:sz w:val="10"/>
                      <w:szCs w:val="10"/>
                    </w:rPr>
                  </w:pPr>
                </w:p>
                <w:p>
                  <w:pPr>
                    <w:adjustRightInd w:val="0"/>
                    <w:snapToGrid w:val="0"/>
                    <w:ind w:left="279" w:hangingChars="127" w:hanging="279"/>
                    <w:rPr>
                      <w:rFonts w:ascii="Arial" w:hAnsi="Arial" w:cs="Arial" w:eastAsia="Arial"/>
                      <w:snapToGrid w:val="0"/>
                    </w:rPr>
                    <w:pStyle w:val="P68B1DB1-a10"/>
                  </w:pPr>
                  <w:r>
                    <w:t>•</w:t>
                    <w:tab/>
                    <w:t xml:space="preserve">Kunden mit </w:t>
                  </w:r>
                  <w:r>
                    <w:rPr>
                      <w:b/>
                    </w:rPr>
                    <w:t xml:space="preserve">schreibarmen Anwendungen </w:t>
                  </w:r>
                  <w:r>
                    <w:t xml:space="preserve">können SMR für höhere Kapazität und eine effizientere Stellfläche nutzen.</w:t>
                  </w:r>
                </w:p>
                <w:p>
                  <w:pPr>
                    <w:adjustRightInd w:val="0"/>
                    <w:snapToGrid w:val="0"/>
                    <w:ind w:left="127" w:hangingChars="127" w:hanging="127"/>
                    <w:rPr>
                      <w:snapToGrid w:val="0"/>
                      <w:sz w:val="10"/>
                      <w:szCs w:val="10"/>
                    </w:rPr>
                  </w:pPr>
                </w:p>
                <w:p>
                  <w:pPr>
                    <w:adjustRightInd w:val="0"/>
                    <w:snapToGrid w:val="0"/>
                    <w:ind w:left="279" w:hangingChars="127" w:hanging="279"/>
                    <w:rPr>
                      <w:rFonts w:ascii="Arial" w:hAnsi="Arial" w:eastAsia="Arial"/>
                      <w:snapToGrid w:val="0"/>
                    </w:rPr>
                    <w:pStyle w:val="P68B1DB1-a10"/>
                  </w:pPr>
                  <w:r>
                    <w:t>•</w:t>
                    <w:tab/>
                    <w:t xml:space="preserve">SMR wird auf lange Sicht ausgeliefert werden, um die </w:t>
                  </w:r>
                  <w:r>
                    <w:rPr>
                      <w:rFonts w:cs="Arial"/>
                      <w:b/>
                    </w:rPr>
                    <w:t xml:space="preserve">HAMR-HDD-Kapazitäten </w:t>
                  </w:r>
                  <w:r>
                    <w:t xml:space="preserve">weiter zu erhöhen.</w:t>
                  </w:r>
                </w:p>
              </w:txbxContent>
            </v:textbox>
          </v:shape>
        </w:pict>
      </w:r>
      <w:r>
        <w:pict>
          <v:shape id="_x0000_s1038" type="#_x0000_t202" style="position:absolute;margin-left:620.4pt;margin-top:393pt;width:301.6pt;height:87.65pt;z-index:25167052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3zPMNgIAAEgEAAAOAAAAZHJzL2Uyb0RvYy54bWysVM2O0zAQviPxDpbvNGna7rZR09XSpQhp +ZEWHsBxnMbCf9huk/IAyxtw4sKd5+pzMHaypfxdEDlYHs/488z3zWR51UmB9sw6rlWBx6MUI6ao rrjaFvjd282TOUbOE1URoRUr8IE5fLV6/GjZmpxlutGiYhYBiHJ5awrceG/yJHG0YZK4kTZMgbPW VhIPpt0mlSUtoEuRZGl6kbTaVsZqypyD05veiVcRv64Z9a/r2jGPRIEhNx9XG9cyrMlqSfKtJabh dEiD/EMWknAFj56gbognaGf5b1CSU6udrv2IapnouuaUxRqgmnH6SzV3DTEs1gLkOHOiyf0/WPpq /8YiXhV4kl5ipIgEkY6fPx2/fDt+vUdZIKg1Loe4OwORvnuqOxA6FuvMrabvHVJ63RC1ZdfW6rZh pIIEx+Fmcna1x3EBpGxf6greITuvI1BXWxnYAz4QoINQh5M4rPOIwmE2uZxmFzOMKPjG03SymM/i GyR/uG6s88+ZlihsCmxB/QhP9rfOh3RI/hASXnNa8GrDhYiG3ZZrYdGeQKds4jeg/xQmFGoLvJhl s56Bv0Kk8fsThOQeWl5wWeD5KYjkgbdnqooN6QkX/R5SFmogMnDXs+i7shuEKXV1AEqt7lsbRhE2 jbYfMWqhrQvsPuyIZRiJFwpkWYyn0zAH0ZjOLjMw7LmnPPcQRQGqwB6jfrv2cXYiYeYa5NvwSGzQ uc9kyBXaNfI9jFaYh3M7Rv34Aay+AwAA//8DAFBLAwQUAAYACAAAACEA/S8y1tsAAAAFAQAADwAA AGRycy9kb3ducmV2LnhtbEyPwU7DMBBE70j8g7VI3KiTFBVI41RVBNdKbZG4buNtErDXIXbS8PcY LnBZaTSjmbfFZrZGTDT4zrGCdJGAIK6d7rhR8Hp8uXsE4QOyRuOYFHyRh015fVVgrt2F9zQdQiNi CfscFbQh9LmUvm7Jol+4njh6ZzdYDFEOjdQDXmK5NTJLkpW02HFcaLGnqqX64zBaBeOx2k77Knt/ m3b6frd6RovmU6nbm3m7BhFoDn9h+MGP6FBGppMbWXthFMRHwu+N3vJh+QTipCDL0hRkWcj/9OU3 AAAA//8DAFBLAQItABQABgAIAAAAIQC2gziS/gAAAOEBAAATAAAAAAAAAAAAAAAAAAAAAABbQ29u dGVudF9UeXBlc10ueG1sUEsBAi0AFAAGAAgAAAAhADj9If/WAAAAlAEAAAsAAAAAAAAAAAAAAAAA LwEAAF9yZWxzLy5yZWxzUEsBAi0AFAAGAAgAAAAhADDfM8w2AgAASAQAAA4AAAAAAAAAAAAAAAAA LgIAAGRycy9lMm9Eb2MueG1sUEsBAi0AFAAGAAgAAAAhAP0vMtbbAAAABQEAAA8AAAAAAAAAAAAA AAAAkAQAAGRycy9kb3ducmV2LnhtbFBLBQYAAAAABAAEAPMAAACYBQAAAAA= " o:allowincell="f" filled="f" stroked="f">
            <v:textbox style="mso-fit-shape-to-text:t" inset="0,0,0,0">
              <w:txbxContent>
                <w:p>
                  <w:pPr>
                    <w:adjustRightInd w:val="0"/>
                    <w:snapToGrid w:val="0"/>
                    <w:outlineLvl w:val="1"/>
                    <w:rPr>
                      <w:rFonts w:ascii="Arial" w:hAnsi="Arial" w:eastAsia="Arial"/>
                      <w:snapToGrid w:val="0"/>
                    </w:rPr>
                    <w:pStyle w:val="P68B1DB1-a9"/>
                  </w:pPr>
                  <w:r>
                    <w:t>SMR-Ressourcen</w:t>
                  </w:r>
                </w:p>
                <w:p>
                  <w:pPr>
                    <w:adjustRightInd w:val="0"/>
                    <w:snapToGrid w:val="0"/>
                    <w:rPr>
                      <w:snapToGrid w:val="0"/>
                      <w:sz w:val="12"/>
                      <w:szCs w:val="12"/>
                    </w:rPr>
                  </w:pPr>
                </w:p>
                <w:p>
                  <w:pPr>
                    <w:adjustRightInd w:val="0"/>
                    <w:snapToGrid w:val="0"/>
                    <w:ind w:left="293" w:hangingChars="133" w:hanging="293"/>
                    <w:rPr>
                      <w:rFonts w:ascii="Arial" w:hAnsi="Arial" w:cs="Arial" w:eastAsia="Arial"/>
                      <w:snapToGrid w:val="0"/>
                    </w:rPr>
                    <w:pStyle w:val="P68B1DB1-a10"/>
                  </w:pPr>
                  <w:r>
                    <w:t>•</w:t>
                    <w:tab/>
                  </w:r>
                  <w:r>
                    <w:rPr>
                      <w:b/>
                    </w:rPr>
                    <w:t>SMR-Verkaufspräsentation</w:t>
                  </w:r>
                </w:p>
                <w:p>
                  <w:pPr>
                    <w:adjustRightInd w:val="0"/>
                    <w:snapToGrid w:val="0"/>
                    <w:ind w:left="106" w:hangingChars="133" w:hanging="106"/>
                    <w:rPr>
                      <w:snapToGrid w:val="0"/>
                      <w:sz w:val="8"/>
                      <w:szCs w:val="12"/>
                    </w:rPr>
                  </w:pPr>
                </w:p>
                <w:p>
                  <w:pPr>
                    <w:adjustRightInd w:val="0"/>
                    <w:snapToGrid w:val="0"/>
                    <w:ind w:left="293" w:hangingChars="133" w:hanging="293"/>
                    <w:rPr>
                      <w:rFonts w:ascii="Arial" w:hAnsi="Arial" w:cs="Arial" w:eastAsia="Arial"/>
                      <w:snapToGrid w:val="0"/>
                    </w:rPr>
                    <w:pStyle w:val="P68B1DB1-a10"/>
                  </w:pPr>
                  <w:r>
                    <w:t>•</w:t>
                    <w:tab/>
                  </w:r>
                  <w:r>
                    <w:rPr>
                      <w:b/>
                    </w:rPr>
                    <w:t xml:space="preserve">SMR-Einführungs-PPT (Nur intern)</w:t>
                  </w:r>
                </w:p>
                <w:p>
                  <w:pPr>
                    <w:adjustRightInd w:val="0"/>
                    <w:snapToGrid w:val="0"/>
                    <w:ind w:left="133" w:hangingChars="133" w:hanging="133"/>
                    <w:rPr>
                      <w:snapToGrid w:val="0"/>
                      <w:sz w:val="10"/>
                      <w:szCs w:val="8"/>
                    </w:rPr>
                  </w:pPr>
                </w:p>
                <w:p>
                  <w:pPr>
                    <w:adjustRightInd w:val="0"/>
                    <w:snapToGrid w:val="0"/>
                    <w:ind w:left="293" w:hangingChars="133" w:hanging="293"/>
                    <w:rPr>
                      <w:rFonts w:ascii="Arial" w:hAnsi="Arial" w:cs="Arial" w:eastAsia="Arial"/>
                      <w:snapToGrid w:val="0"/>
                    </w:rPr>
                    <w:pStyle w:val="P68B1DB1-a10"/>
                  </w:pPr>
                  <w:r>
                    <w:t>•</w:t>
                    <w:tab/>
                  </w:r>
                  <w:r>
                    <w:rPr>
                      <w:b/>
                    </w:rPr>
                    <w:t xml:space="preserve">SMR-freundlich vs. SMR-bewusst | Infografik</w:t>
                  </w:r>
                </w:p>
                <w:p>
                  <w:pPr>
                    <w:adjustRightInd w:val="0"/>
                    <w:snapToGrid w:val="0"/>
                    <w:ind w:left="133" w:hangingChars="133" w:hanging="133"/>
                    <w:rPr>
                      <w:snapToGrid w:val="0"/>
                      <w:sz w:val="10"/>
                      <w:szCs w:val="10"/>
                    </w:rPr>
                  </w:pPr>
                </w:p>
                <w:p>
                  <w:pPr>
                    <w:adjustRightInd w:val="0"/>
                    <w:snapToGrid w:val="0"/>
                    <w:ind w:left="293" w:hangingChars="133" w:hanging="293"/>
                    <w:rPr>
                      <w:rFonts w:ascii="Arial" w:hAnsi="Arial" w:cs="Arial" w:eastAsia="Arial"/>
                      <w:snapToGrid w:val="0"/>
                    </w:rPr>
                    <w:pStyle w:val="P68B1DB1-a10"/>
                  </w:pPr>
                  <w:r>
                    <w:t>•</w:t>
                    <w:tab/>
                  </w:r>
                  <w:r>
                    <w:rPr>
                      <w:b/>
                    </w:rPr>
                    <w:t xml:space="preserve">Alle SMR-Ressourcen</w:t>
                  </w:r>
                </w:p>
              </w:txbxContent>
            </v:textbox>
          </v:shape>
        </w:pict>
      </w:r>
      <w:r>
        <w:drawing>
          <wp:inline distT="0" distB="0" distL="0" distR="0">
            <wp:extent cx="12191509" cy="68577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graphic - Where to Sell SMR - July 202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1509" cy="685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9199" w:h="10800" w:orient="landscape"/>
      <w:pgMar w:top="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C26AB3"/>
    <w:rsid w:val="00351EB8"/>
    <w:rsid w:val="007F580E"/>
    <w:rsid w:val="00C26AB3"/>
    <w:rsid w:val="00E3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>
      <w:pPr>
        <w:widowControl w:val="0"/>
      </w:pPr>
    </w:pPrDefault>
    <w:rPrDefault>
      <w:rPr>
        <w:rFonts w:asciiTheme="minorHAnsi" w:hAnsiTheme="minorHAnsi" w:cstheme="minorBidi" w:eastAsiaTheme="minorEastAsia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link w:val="1Char"/>
    <w:uiPriority w:val="1"/>
    <w:qFormat/>
    <w:rsid w:val="007F580E"/>
    <w:pPr>
      <w:ind w:left="3036"/>
      <w:outlineLvl w:val="0"/>
    </w:pPr>
    <w:rPr>
      <w:rFonts w:ascii="Arial" w:hAnsi="Arial" w:eastAsia="Arial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F580E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4">
    <w:name w:val="header"/>
    <w:basedOn w:val="a"/>
    <w:link w:val="Char"/>
    <w:uiPriority w:val="99"/>
    <w:unhideWhenUsed/>
    <w:rsid w:val="007F58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F58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F58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F580E"/>
    <w:rPr>
      <w:sz w:val="18"/>
      <w:szCs w:val="18"/>
    </w:rPr>
  </w:style>
  <w:style w:type="character" w:customStyle="1" w:styleId="1Char">
    <w:name w:val="标题 1 Char"/>
    <w:basedOn w:val="a0"/>
    <w:link w:val="1"/>
    <w:uiPriority w:val="1"/>
    <w:rsid w:val="007F580E"/>
    <w:rPr>
      <w:rFonts w:ascii="Arial" w:hAnsi="Arial" w:eastAsia="Arial"/>
      <w:b/>
      <w:bCs/>
      <w:sz w:val="28"/>
      <w:szCs w:val="28"/>
    </w:rPr>
  </w:style>
  <w:style w:type="paragraph" w:styleId="a6">
    <w:name w:val="Body Text"/>
    <w:basedOn w:val="a"/>
    <w:link w:val="Char1"/>
    <w:uiPriority w:val="1"/>
    <w:qFormat/>
    <w:rsid w:val="007F580E"/>
    <w:pPr>
      <w:ind w:left="673"/>
    </w:pPr>
    <w:rPr>
      <w:rFonts w:ascii="Arial" w:hAnsi="Arial" w:eastAsia="Arial"/>
    </w:rPr>
  </w:style>
  <w:style w:type="character" w:customStyle="1" w:styleId="Char1">
    <w:name w:val="正文文本 Char"/>
    <w:basedOn w:val="a0"/>
    <w:link w:val="a6"/>
    <w:uiPriority w:val="1"/>
    <w:rsid w:val="007F580E"/>
    <w:rPr>
      <w:rFonts w:ascii="Arial" w:hAnsi="Arial" w:eastAsia="Arial"/>
    </w:rPr>
  </w:style>
  <w:style w:type="character" w:customStyle="1" w:styleId="2Char">
    <w:name w:val="标题 2 Char"/>
    <w:basedOn w:val="a0"/>
    <w:link w:val="2"/>
    <w:uiPriority w:val="9"/>
    <w:semiHidden/>
    <w:rsid w:val="007F580E"/>
    <w:rPr>
      <w:rFonts w:asciiTheme="majorHAnsi" w:hAnsiTheme="majorHAnsi" w:cstheme="majorBidi" w:eastAsiaTheme="majorEastAsia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7F580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F580E"/>
    <w:rPr>
      <w:sz w:val="18"/>
      <w:szCs w:val="18"/>
    </w:rPr>
  </w:style>
  <w:style w:type="paragraph" w:styleId="P68B1DB1-a1">
    <w:name w:val="P68B1DB1-a1"/>
    <w:basedOn w:val="a"/>
    <w:rPr>
      <w:i/>
      <w:color w:val="7F7F7F"/>
    </w:rPr>
  </w:style>
  <w:style w:type="paragraph" w:styleId="P68B1DB1-a62">
    <w:name w:val="P68B1DB1-a62"/>
    <w:basedOn w:val="a6"/>
    <w:rPr>
      <w:b/>
    </w:rPr>
  </w:style>
  <w:style w:type="paragraph" w:styleId="P68B1DB1-13">
    <w:name w:val="P68B1DB1-13"/>
    <w:basedOn w:val="1"/>
    <w:rPr>
      <w:color w:val="BF43C0"/>
    </w:rPr>
  </w:style>
  <w:style w:type="paragraph" w:styleId="P68B1DB1-a64">
    <w:name w:val="P68B1DB1-a64"/>
    <w:basedOn w:val="a6"/>
    <w:rPr>
      <w:color w:val="404040"/>
    </w:rPr>
  </w:style>
  <w:style w:type="paragraph" w:styleId="P68B1DB1-15">
    <w:name w:val="P68B1DB1-15"/>
    <w:basedOn w:val="1"/>
    <w:rPr>
      <w:color w:val="8869FD"/>
    </w:rPr>
  </w:style>
  <w:style w:type="paragraph" w:styleId="P68B1DB1-16">
    <w:name w:val="P68B1DB1-16"/>
    <w:basedOn w:val="1"/>
    <w:rPr>
      <w:color w:val="4697F3"/>
    </w:rPr>
  </w:style>
  <w:style w:type="paragraph" w:styleId="P68B1DB1-17">
    <w:name w:val="P68B1DB1-17"/>
    <w:basedOn w:val="1"/>
    <w:rPr>
      <w:color w:val="DE2D8B"/>
    </w:rPr>
  </w:style>
  <w:style w:type="paragraph" w:styleId="P68B1DB1-a8">
    <w:name w:val="P68B1DB1-a8"/>
    <w:basedOn w:val="a"/>
    <w:rPr>
      <w:color w:val="BFBFBF"/>
    </w:rPr>
  </w:style>
  <w:style w:type="paragraph" w:styleId="P68B1DB1-a9">
    <w:name w:val="P68B1DB1-a9"/>
    <w:basedOn w:val="a"/>
    <w:rPr>
      <w:b/>
      <w:color w:val="A6A6A6"/>
    </w:rPr>
  </w:style>
  <w:style w:type="paragraph" w:styleId="P68B1DB1-a10">
    <w:name w:val="P68B1DB1-a10"/>
    <w:basedOn w:val="a"/>
    <w:rPr>
      <w:color w:val="7F7F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2023-07-28T18:18:00Z</dcterms:created>
  <dcterms:modified xsi:type="dcterms:W3CDTF">2023-07-28T10:29:00Z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2023-07-28T00:00:00Z</vt:filetime>
  </property>
  <property fmtid="{D5CDD505-2E9C-101B-9397-08002B2CF9AE}" pid="3" name="LastSaved">
    <vt:filetime>2023-07-28T00:00:00Z</vt:filetime>
  </property>
</Properties>
</file>