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40"/>
        <w:jc w:val="center"/>
      </w:pPr>
      <w:r>
        <w:rPr>
          <w:rFonts w:ascii="Calibri" w:cs="Calibri" w:eastAsia="Calibri" w:hAnsi="Calibri"/>
          <w:b/>
          <w:bCs/>
          <w:sz w:val="56"/>
          <w:szCs w:val="56"/>
        </w:rPr>
        <w:t xml:space="preserve">DOCUMENTAÇÃO TÉCNICA</w:t>
      </w:r>
    </w:p>
    <w:p>
      <w:pPr>
        <w:spacing w:after="240"/>
        <w:jc w:val="center"/>
      </w:pPr>
      <w:r>
        <w:rPr>
          <w:rFonts w:ascii="Calibri" w:cs="Calibri" w:eastAsia="Calibri" w:hAnsi="Calibri"/>
          <w:sz w:val="36"/>
          <w:szCs w:val="36"/>
        </w:rPr>
        <w:t xml:space="preserve">Sistema de Gerenciamento de Equipamentos de Proteção Individual (EPIs)</w:t>
      </w:r>
    </w:p>
    <w:p>
      <w:pPr>
        <w:spacing w:after="1600"/>
        <w:jc w:val="center"/>
      </w:pPr>
      <w:r>
        <w:rPr>
          <w:rFonts w:ascii="Calibri" w:cs="Calibri" w:eastAsia="Calibri" w:hAnsi="Calibri"/>
          <w:i/>
          <w:iCs/>
          <w:sz w:val="28"/>
          <w:szCs w:val="28"/>
        </w:rPr>
        <w:t xml:space="preserve">Empresa de Construção Civil</w:t>
      </w:r>
    </w:p>
    <w:p>
      <w:pPr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Curso Técnico em Desenvolvimento de Sistemas</w:t>
      </w:r>
    </w:p>
    <w:p>
      <w:pPr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Etapa 1 — Levantamento e Documentação de Requisitos</w:t>
      </w:r>
    </w:p>
    <w:p>
      <w:pPr>
        <w:spacing w:before="40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Julho de 2026</w:t>
      </w:r>
    </w:p>
    <w:p>
      <w:r>
        <w:br w:type="page"/>
      </w:r>
    </w:p>
    <w:p>
      <w:pPr>
        <w:pStyle w:val="Heading1"/>
        <w:spacing w:after="200" w:before="320"/>
      </w:pPr>
      <w:r>
        <w:rPr>
          <w:rFonts w:ascii="Calibri" w:cs="Calibri" w:eastAsia="Calibri" w:hAnsi="Calibri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20"/>
      </w:pPr>
      <w:r>
        <w:rPr>
          <w:rFonts w:ascii="Calibri" w:cs="Calibri" w:eastAsia="Calibri" w:hAnsi="Calibri"/>
        </w:rPr>
        <w:t xml:space="preserve">1. Introdução e Contexto</w:t>
      </w:r>
    </w:p>
    <w:p>
      <w:pPr>
        <w:spacing w:after="160" w:line="30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Uma empresa de construção civil da região identificou, em auditoria interna, a necessidade de melhorar o gerenciamento do uso dos Equipamentos de Proteção Individual (EPIs) pelos seus colaboradores. Foi constatado que parte dos colaboradores deixa de utilizar os equipamentos por esquecê-los em casa ou por não retirá-los junto ao departamento de Saúde e Segurança do Trabalho (SST), o que expõe a empresa a riscos de acidentes e a não conformidades com a Norma Regulamentadora nº 6 (NR-6).</w:t>
      </w:r>
    </w:p>
    <w:p>
      <w:pPr>
        <w:spacing w:after="160" w:line="30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Este documento apresenta a especificação técnica do Sistema de Gerenciamento de EPIs, que tem como objetivo controlar o empréstimo e a devolução dos equipamentos de proteção individual para cada colaborador da construtora, contemplando o cadastro de equipamentos, o cadastro de colaboradores, o cadastro de usuários do sistema e o registro dos empréstimos de forma intuitiva, atendendo às normas de usabilidade e à ficha de requisitos proposta pela empresa.</w:t>
      </w:r>
    </w:p>
    <w:p>
      <w:pPr>
        <w:spacing w:after="160" w:line="30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 NR-6 estabelece que a empresa é obrigada a fornecer os EPIs gratuitamente, exigir seu uso, orientar e treinar o trabalhador, registrar o fornecimento (podendo o registro ser feito em meio eletrônico) e substituir imediatamente equipamentos danificados ou extraviados. O sistema proposto operacionaliza esse registro eletrônico de fornecimento, funcionando como a ficha de entrega de EPI da empresa. Por se tratar de uma construtora, aplica-se ainda a NR-18 (Segurança e Saúde no Trabalho na Indústria da Construção), que reforça o uso obrigatório de EPIs no canteiro de obras, como capacete, botina de segurança e cinto tipo paraquedista para trabalho em altura.</w:t>
      </w:r>
    </w:p>
    <w:p>
      <w:pPr>
        <w:pStyle w:val="Heading1"/>
        <w:spacing w:after="200" w:before="320"/>
      </w:pPr>
      <w:r>
        <w:rPr>
          <w:rFonts w:ascii="Calibri" w:cs="Calibri" w:eastAsia="Calibri" w:hAnsi="Calibri"/>
        </w:rPr>
        <w:t xml:space="preserve">2. Escopo do Sistema</w:t>
      </w:r>
    </w:p>
    <w:p>
      <w:pPr>
        <w:spacing w:after="160" w:line="30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 sistema será uma aplicação web acessada pelos profissionais do departamento de SST e pela administração, com as seguintes macrofuncionalidades: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Cadastro, edição, consulta e inativação de colaboradores;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Cadastro de EPIs com número do Certificado de Aprovação (CA), validade do CA, categoria e controle de estoque;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Cadastro de usuários do sistema com perfis de acesso (Administrador, Técnico de Segurança e Almoxarife);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Registro de empréstimos de EPIs vinculando colaborador, itens, quantidades e data prevista de devolução;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Registro de devoluções com a condição do equipamento (bom estado, danificado ou extraviado);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Painel de indicadores com alertas de devoluções atrasadas, CAs próximos do vencimento e estoque abaixo do mínimo;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Relatórios e histórico de empréstimos por colaborador, por setor e por equipamento.</w:t>
      </w:r>
    </w:p>
    <w:p>
      <w:pPr>
        <w:spacing w:after="160" w:line="300"/>
        <w:jc w:val="both"/>
      </w:pPr>
      <w:r>
        <w:rPr>
          <w:rFonts w:ascii="Calibri" w:cs="Calibri" w:eastAsia="Calibri" w:hAnsi="Calibri"/>
          <w:b w:val="false"/>
          <w:bCs w:val="false"/>
          <w:i/>
          <w:iCs/>
          <w:sz w:val="22"/>
          <w:szCs w:val="22"/>
        </w:rPr>
        <w:t xml:space="preserve">Não fazem parte do escopo desta versão: integração com catracas/ponto eletrônico, leitura biométrica e aplicativo móvel nativo.</w:t>
      </w:r>
    </w:p>
    <w:p>
      <w:pPr>
        <w:pStyle w:val="Heading1"/>
        <w:spacing w:after="200" w:before="320"/>
      </w:pPr>
      <w:r>
        <w:rPr>
          <w:rFonts w:ascii="Calibri" w:cs="Calibri" w:eastAsia="Calibri" w:hAnsi="Calibri"/>
        </w:rPr>
        <w:t xml:space="preserve">3. Atores e Perfis de Acesso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shd w:fill="E8E8E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Ator / Perfil</w:t>
            </w:r>
          </w:p>
        </w:tc>
        <w:tc>
          <w:tcPr>
            <w:tcW w:type="dxa" w:w="6800"/>
            <w:shd w:fill="E8E8E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Responsável pela gestão dos usuários do sistema e pelas configurações gerais. Possui acesso total a todas as funcionalidades.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Técnico de Segurança do Trabalho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Usuário principal do sistema. Cadastra colaboradores e EPIs, registra empréstimos e devoluções, acompanha alertas e emite relatórios.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Almoxarife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Apoia a operação de entrega e devolução dos EPIs e o controle de estoque.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Colaborador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Não opera o sistema diretamente nesta versão; é o beneficiário dos empréstimos e pode consultar seu histórico junto ao SST.</w:t>
            </w:r>
          </w:p>
        </w:tc>
      </w:tr>
    </w:tbl>
    <w:p>
      <w:pPr>
        <w:pStyle w:val="Heading1"/>
        <w:spacing w:after="200" w:before="320"/>
      </w:pPr>
      <w:r>
        <w:rPr>
          <w:rFonts w:ascii="Calibri" w:cs="Calibri" w:eastAsia="Calibri" w:hAnsi="Calibri"/>
        </w:rPr>
        <w:t xml:space="preserve">4. Requisitos Funcionais</w:t>
      </w:r>
    </w:p>
    <w:p>
      <w:pPr>
        <w:spacing w:after="160" w:line="30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Os requisitos funcionais descrevem o que o sistema deve fazer. A prioridade segue a classificação: Essencial (E), Importante (I) e Desejável (D).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5600"/>
        <w:gridCol w:w="1200"/>
        <w:gridCol w:w="1200"/>
      </w:tblGrid>
      <w:tr>
        <w:trPr>
          <w:tblHeader/>
        </w:trPr>
        <w:tc>
          <w:tcPr>
            <w:tcW w:type="dxa" w:w="1000"/>
            <w:shd w:fill="E8E8E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5600"/>
            <w:shd w:fill="E8E8E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200"/>
            <w:shd w:fill="E8E8E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Prioridade</w:t>
            </w:r>
          </w:p>
        </w:tc>
        <w:tc>
          <w:tcPr>
            <w:tcW w:type="dxa" w:w="1200"/>
            <w:shd w:fill="E8E8E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Ator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RF01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 sistema deve permitir o cadastro, edição, consulta e inativação de colaboradores, contendo matrícula, nome completo, CPF, data de nascimento, cargo, setor, telefone e e-mail. Matrícula e CPF devem ser únicos.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 / Técnico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RF02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 sistema deve permitir o cadastro, edição, consulta e inativação de EPIs, contendo nome, descrição, categoria, número do CA, validade do CA, tamanho, quantidade em estoque e estoque mínimo.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 / Técnico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RF03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 sistema deve permitir o cadastro de usuários do sistema com nome, e-mail, senha e perfil de acesso (Administrador, Técnico de Segurança ou Almoxarife).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RF04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 sistema deve exigir autenticação (login com e-mail e senha) para acesso a qualquer funcionalidade, respeitando as permissões de cada perfil.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Todos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RF05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 sistema deve permitir o registro de empréstimos de EPIs, vinculando um colaborador a um ou mais equipamentos, com quantidade, data do empréstimo e data prevista de devolução, baixando automaticamente o estoque.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Técnico / Almoxarife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RF06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 sistema deve permitir o registro da devolução dos EPIs emprestados, informando a condição do item (bom estado, danificado ou extraviado) e retornando ao estoque os itens em bom estado.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Técnico / Almoxarife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RF07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 sistema deve impedir o empréstimo de EPIs sem estoque disponível ou com Certificado de Aprovação (CA) vencido.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RF08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 sistema deve exibir alertas de devoluções em atraso, de CAs próximos do vencimento (30 dias) e de itens com estoque abaixo do mínimo.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Técnico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RF09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 sistema deve permitir a consulta do histórico de empréstimos por colaborador, por setor e por equipamento, com filtros por período e status.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Técnico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RF10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 sistema deve gerar a ficha de entrega de EPI do empréstimo (comprovante em conformidade com o registro exigido pela NR-6), disponível para impressão.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Técnico</w:t>
            </w:r>
          </w:p>
        </w:tc>
      </w:tr>
    </w:tbl>
    <w:p>
      <w:pPr>
        <w:pStyle w:val="Heading1"/>
        <w:spacing w:after="200" w:before="320"/>
      </w:pPr>
      <w:r>
        <w:rPr>
          <w:rFonts w:ascii="Calibri" w:cs="Calibri" w:eastAsia="Calibri" w:hAnsi="Calibri"/>
        </w:rPr>
        <w:t xml:space="preserve">5. Requisitos Não Funcionais</w:t>
      </w:r>
    </w:p>
    <w:p>
      <w:pPr>
        <w:spacing w:after="160" w:line="30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Os requisitos não funcionais definem atributos de qualidade e restrições do sistema.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800"/>
        <w:gridCol w:w="6100"/>
      </w:tblGrid>
      <w:tr>
        <w:trPr>
          <w:tblHeader/>
        </w:trPr>
        <w:tc>
          <w:tcPr>
            <w:tcW w:type="dxa" w:w="1100"/>
            <w:shd w:fill="E8E8E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1800"/>
            <w:shd w:fill="E8E8E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Categoria</w:t>
            </w:r>
          </w:p>
        </w:tc>
        <w:tc>
          <w:tcPr>
            <w:tcW w:type="dxa" w:w="6100"/>
            <w:shd w:fill="E8E8E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tblHeader w:val="false"/>
        </w:trPr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RNF01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Usabilidade</w:t>
            </w:r>
          </w:p>
        </w:tc>
        <w:tc>
          <w:tcPr>
            <w:tcW w:type="dxa" w:w="6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interface deve ser intuitiva e seguir as heurísticas de usabilidade de Nielsen e as diretrizes da ISO 9241: campos obrigatórios sinalizados, mensagens de erro claras, feedback visual das ações e navegação consistente entre as telas.</w:t>
            </w:r>
          </w:p>
        </w:tc>
      </w:tr>
      <w:tr>
        <w:trPr>
          <w:tblHeader w:val="false"/>
        </w:trPr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RNF02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Segurança</w:t>
            </w:r>
          </w:p>
        </w:tc>
        <w:tc>
          <w:tcPr>
            <w:tcW w:type="dxa" w:w="6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 senhas devem ser armazenadas com algoritmo de hash seguro (ex.: bcrypt). O acesso às funcionalidades deve ser controlado por perfil, e as sessões devem expirar após período de inatividade.</w:t>
            </w:r>
          </w:p>
        </w:tc>
      </w:tr>
      <w:tr>
        <w:trPr>
          <w:tblHeader w:val="false"/>
        </w:trPr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RNF03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Privacidade (LGPD)</w:t>
            </w:r>
          </w:p>
        </w:tc>
        <w:tc>
          <w:tcPr>
            <w:tcW w:type="dxa" w:w="6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Os dados pessoais dos colaboradores (CPF, contatos) devem ser tratados conforme a Lei Geral de Proteção de Dados (Lei nº 13.709/2018), com acesso restrito a usuários autorizados.</w:t>
            </w:r>
          </w:p>
        </w:tc>
      </w:tr>
      <w:tr>
        <w:trPr>
          <w:tblHeader w:val="false"/>
        </w:trPr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RNF04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Desempenho</w:t>
            </w:r>
          </w:p>
        </w:tc>
        <w:tc>
          <w:tcPr>
            <w:tcW w:type="dxa" w:w="6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 operações de cadastro e consulta devem responder em até 3 segundos em condições normais de uso.</w:t>
            </w:r>
          </w:p>
        </w:tc>
      </w:tr>
      <w:tr>
        <w:trPr>
          <w:tblHeader w:val="false"/>
        </w:trPr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RNF05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Compatibilidade</w:t>
            </w:r>
          </w:p>
        </w:tc>
        <w:tc>
          <w:tcPr>
            <w:tcW w:type="dxa" w:w="6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 sistema deve funcionar nos navegadores modernos (Chrome, Firefox e Edge) e possuir layout responsivo para uso em desktops e tablets.</w:t>
            </w:r>
          </w:p>
        </w:tc>
      </w:tr>
      <w:tr>
        <w:trPr>
          <w:tblHeader w:val="false"/>
        </w:trPr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RNF06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Disponibilidade</w:t>
            </w:r>
          </w:p>
        </w:tc>
        <w:tc>
          <w:tcPr>
            <w:tcW w:type="dxa" w:w="6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 sistema deve estar disponível durante todo o horário de funcionamento da construtora (canteiro de obras e escritório), com disponibilidade mínima de 99% no período de expediente.</w:t>
            </w:r>
          </w:p>
        </w:tc>
      </w:tr>
      <w:tr>
        <w:trPr>
          <w:tblHeader w:val="false"/>
        </w:trPr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RNF07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Manutenibilidade</w:t>
            </w:r>
          </w:p>
        </w:tc>
        <w:tc>
          <w:tcPr>
            <w:tcW w:type="dxa" w:w="6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 código deve ser organizado em camadas (apresentação, negócio e dados), versionado em Git e documentado, facilitando manutenções e evoluções.</w:t>
            </w:r>
          </w:p>
        </w:tc>
      </w:tr>
      <w:tr>
        <w:trPr>
          <w:tblHeader w:val="false"/>
        </w:trPr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RNF08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Integridade dos dados</w:t>
            </w:r>
          </w:p>
        </w:tc>
        <w:tc>
          <w:tcPr>
            <w:tcW w:type="dxa" w:w="6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 banco de dados deve garantir integridade referencial (chaves estrangeiras) e unicidade de matrícula, CPF e e-mail, com backups diários.</w:t>
            </w:r>
          </w:p>
        </w:tc>
      </w:tr>
    </w:tbl>
    <w:p>
      <w:pPr>
        <w:pStyle w:val="Heading1"/>
        <w:spacing w:after="200" w:before="320"/>
      </w:pPr>
      <w:r>
        <w:rPr>
          <w:rFonts w:ascii="Calibri" w:cs="Calibri" w:eastAsia="Calibri" w:hAnsi="Calibri"/>
        </w:rPr>
        <w:t xml:space="preserve">6. Regras de Negócio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rPr>
          <w:tblHeader/>
        </w:trPr>
        <w:tc>
          <w:tcPr>
            <w:tcW w:type="dxa" w:w="1100"/>
            <w:shd w:fill="E8E8E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900"/>
            <w:shd w:fill="E8E8E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Regra</w:t>
            </w:r>
          </w:p>
        </w:tc>
      </w:tr>
      <w:tr>
        <w:trPr>
          <w:tblHeader w:val="false"/>
        </w:trPr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RN01</w:t>
            </w:r>
          </w:p>
        </w:tc>
        <w:tc>
          <w:tcPr>
            <w:tcW w:type="dxa" w:w="7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Todo empréstimo deve estar vinculado a um colaborador ativo e ao usuário do sistema que o registrou.</w:t>
            </w:r>
          </w:p>
        </w:tc>
      </w:tr>
      <w:tr>
        <w:trPr>
          <w:tblHeader w:val="false"/>
        </w:trPr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RN02</w:t>
            </w:r>
          </w:p>
        </w:tc>
        <w:tc>
          <w:tcPr>
            <w:tcW w:type="dxa" w:w="7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Um EPI só pode ser emprestado se houver quantidade disponível em estoque e se o CA estiver dentro da validade.</w:t>
            </w:r>
          </w:p>
        </w:tc>
      </w:tr>
      <w:tr>
        <w:trPr>
          <w:tblHeader w:val="false"/>
        </w:trPr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RN03</w:t>
            </w:r>
          </w:p>
        </w:tc>
        <w:tc>
          <w:tcPr>
            <w:tcW w:type="dxa" w:w="7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devolução em bom estado retorna o item ao estoque; itens danificados ou extraviados não retornam e devem ser repostos conforme a NR-6.</w:t>
            </w:r>
          </w:p>
        </w:tc>
      </w:tr>
      <w:tr>
        <w:trPr>
          <w:tblHeader w:val="false"/>
        </w:trPr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RN04</w:t>
            </w:r>
          </w:p>
        </w:tc>
        <w:tc>
          <w:tcPr>
            <w:tcW w:type="dxa" w:w="7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Empréstimos com data prevista de devolução ultrapassada recebem automaticamente o status "Atrasado".</w:t>
            </w:r>
          </w:p>
        </w:tc>
      </w:tr>
      <w:tr>
        <w:trPr>
          <w:tblHeader w:val="false"/>
        </w:trPr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RN05</w:t>
            </w:r>
          </w:p>
        </w:tc>
        <w:tc>
          <w:tcPr>
            <w:tcW w:type="dxa" w:w="7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Colaboradores e EPIs não são excluídos fisicamente do banco; são inativados, preservando o histórico de empréstimos.</w:t>
            </w:r>
          </w:p>
        </w:tc>
      </w:tr>
    </w:tbl>
    <w:p>
      <w:pPr>
        <w:pStyle w:val="Heading1"/>
        <w:spacing w:after="200" w:before="320"/>
      </w:pPr>
      <w:r>
        <w:rPr>
          <w:rFonts w:ascii="Calibri" w:cs="Calibri" w:eastAsia="Calibri" w:hAnsi="Calibri"/>
        </w:rPr>
        <w:t xml:space="preserve">7. Modelagem do Banco de Dados (DER)</w:t>
      </w:r>
    </w:p>
    <w:p>
      <w:pPr>
        <w:spacing w:after="160" w:line="30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 Diagrama Entidade-Relacionamento encontra-se no arquivo DER_Sistema_EPI.drawio (editável no Draw.io / diagrams.net). O modelo é composto por cinco entidades, e o script de criação do banco em MySQL está no arquivo script_banco_epi.sql.</w:t>
      </w:r>
    </w:p>
    <w:p>
      <w:pPr>
        <w:pStyle w:val="Heading2"/>
        <w:spacing w:after="160" w:before="260"/>
      </w:pPr>
      <w:r>
        <w:rPr>
          <w:rFonts w:ascii="Calibri" w:cs="Calibri" w:eastAsia="Calibri" w:hAnsi="Calibri"/>
        </w:rPr>
        <w:t xml:space="preserve">7.1 Entidades e relacionamentos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usuario — usuários que operam o sistema (1 usuário registra N empréstimos);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colaborador — trabalhadores da construtora que recebem os EPIs (1 colaborador realiza N empréstimos);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epi — catálogo de equipamentos com CA, validade e estoque (1 EPI aparece em N itens de empréstimo);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emprestimo — cabeçalho do empréstimo, equivalente à ficha de entrega (1 empréstimo possui N itens);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item_emprestimo — itens de cada empréstimo, com quantidade, data e condição de devolução.</w:t>
      </w:r>
    </w:p>
    <w:p>
      <w:pPr>
        <w:pStyle w:val="Heading2"/>
        <w:spacing w:after="160" w:before="260"/>
      </w:pPr>
      <w:r>
        <w:rPr>
          <w:rFonts w:ascii="Calibri" w:cs="Calibri" w:eastAsia="Calibri" w:hAnsi="Calibri"/>
        </w:rPr>
        <w:t xml:space="preserve">7.2 Dicionário de dados (principais tabelas)</w:t>
      </w:r>
    </w:p>
    <w:p>
      <w:pPr>
        <w:spacing w:after="160" w:line="300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Tabela colaborador: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4400"/>
      </w:tblGrid>
      <w:tr>
        <w:trPr>
          <w:tblHeader/>
        </w:trPr>
        <w:tc>
          <w:tcPr>
            <w:tcW w:type="dxa" w:w="2400"/>
            <w:shd w:fill="E8E8E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2200"/>
            <w:shd w:fill="E8E8E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400"/>
            <w:shd w:fill="E8E8E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id_colaborador (PK)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Identificador único do colaborador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matricula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VARCHAR(20)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Matrícula funcional (única)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nome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Nome completo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cpf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CHAR(11)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CPF (único, apenas dígitos)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cargo / setor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VARCHAR(60)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Cargo e setor de atuação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ativo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BOOLEAN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Indica se o colaborador está ativo</w:t>
            </w:r>
          </w:p>
        </w:tc>
      </w:tr>
    </w:tbl>
    <w:p>
      <w:pPr>
        <w:spacing w:after="160" w:line="30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160" w:line="300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Tabela epi: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4400"/>
      </w:tblGrid>
      <w:tr>
        <w:trPr>
          <w:tblHeader/>
        </w:trPr>
        <w:tc>
          <w:tcPr>
            <w:tcW w:type="dxa" w:w="2400"/>
            <w:shd w:fill="E8E8E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2200"/>
            <w:shd w:fill="E8E8E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400"/>
            <w:shd w:fill="E8E8E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id_epi (PK)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Identificador único do EPI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nome / categoria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VARCHAR / ENUM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Nome e categoria de proteção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ca_numero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VARCHAR(20)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Número do Certificado de Aprovação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ca_validade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 de validade do CA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qtd_estoque / qtd_minima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Quantidade em estoque e estoque mínimo</w:t>
            </w:r>
          </w:p>
        </w:tc>
      </w:tr>
    </w:tbl>
    <w:p>
      <w:pPr>
        <w:spacing w:after="160" w:line="30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160" w:line="300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Tabela emprestimo e item_emprestimo: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4400"/>
      </w:tblGrid>
      <w:tr>
        <w:trPr>
          <w:tblHeader/>
        </w:trPr>
        <w:tc>
          <w:tcPr>
            <w:tcW w:type="dxa" w:w="2400"/>
            <w:shd w:fill="E8E8E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2200"/>
            <w:shd w:fill="E8E8E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400"/>
            <w:shd w:fill="E8E8E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id_emprestimo (PK)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Identificador do empréstimo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id_colaborador (FK)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Colaborador que recebeu os EPIs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id_usuario (FK)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Usuário que registrou o empréstimo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data_prevista_devolucao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Prazo de devolução acordado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ENUM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ATIVO, DEVOLVIDO ou ATRASADO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id_epi (FK) / quantidade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EPI emprestado e quantidade (item)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condicao_devolucao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ENUM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BOM_ESTADO, DANIFICADO ou EXTRAVIADO</w:t>
            </w:r>
          </w:p>
        </w:tc>
      </w:tr>
    </w:tbl>
    <w:p>
      <w:pPr>
        <w:pStyle w:val="Heading1"/>
        <w:spacing w:after="200" w:before="320"/>
      </w:pPr>
      <w:r>
        <w:rPr>
          <w:rFonts w:ascii="Calibri" w:cs="Calibri" w:eastAsia="Calibri" w:hAnsi="Calibri"/>
        </w:rPr>
        <w:t xml:space="preserve">8. Diagrama de Casos de Uso</w:t>
      </w:r>
    </w:p>
    <w:p>
      <w:pPr>
        <w:spacing w:after="160" w:line="30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 diagrama completo encontra-se no arquivo Casos_de_Uso_Sistema_EPI.drawio. A tabela abaixo resume os casos de uso do sistema: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200"/>
        <w:gridCol w:w="2400"/>
        <w:gridCol w:w="2400"/>
      </w:tblGrid>
      <w:tr>
        <w:trPr>
          <w:tblHeader/>
        </w:trPr>
        <w:tc>
          <w:tcPr>
            <w:tcW w:type="dxa" w:w="1000"/>
            <w:shd w:fill="E8E8E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UC</w:t>
            </w:r>
          </w:p>
        </w:tc>
        <w:tc>
          <w:tcPr>
            <w:tcW w:type="dxa" w:w="3200"/>
            <w:shd w:fill="E8E8E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Caso de uso</w:t>
            </w:r>
          </w:p>
        </w:tc>
        <w:tc>
          <w:tcPr>
            <w:tcW w:type="dxa" w:w="2400"/>
            <w:shd w:fill="E8E8E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Ator principal</w:t>
            </w:r>
          </w:p>
        </w:tc>
        <w:tc>
          <w:tcPr>
            <w:tcW w:type="dxa" w:w="2400"/>
            <w:shd w:fill="E8E8E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Relação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UC01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Autenticar no sistema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Todos os usuários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UC02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Gerenciar usuários do sistema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UC03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Cadastrar colaboradores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 / Técnico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UC04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Cadastrar EPIs (com CA e validade)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 / Técnico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UC05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Registrar empréstimo de EPI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Técnico / Almoxarife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inclui UC06 e UC10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UC06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Verificar disponibilidade em estoque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incluído por UC05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UC07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Registrar devolução de EPI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Técnico / Almoxarife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UC08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Consultar histórico de empréstimos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Técnico / Colaborador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UC09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Gerar relatórios e visualizar alertas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Técnico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UC10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Emitir ficha de entrega de EPI (NR-6)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incluído por UC05</w:t>
            </w:r>
          </w:p>
        </w:tc>
      </w:tr>
    </w:tbl>
    <w:p>
      <w:pPr>
        <w:spacing w:after="160" w:line="30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160" w:before="260"/>
      </w:pPr>
      <w:r>
        <w:rPr>
          <w:rFonts w:ascii="Calibri" w:cs="Calibri" w:eastAsia="Calibri" w:hAnsi="Calibri"/>
        </w:rPr>
        <w:t xml:space="preserve">8.1 Descrição do caso de uso principal — UC05 Registrar empréstimo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Pré-condições: usuário autenticado; colaborador e EPIs cadastrados e ativos.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Fluxo principal: o técnico seleciona o colaborador, adiciona os EPIs e quantidades, informa a data prevista de devolução e confirma; o sistema valida estoque e CA, baixa o estoque, registra o empréstimo e emite a ficha de entrega.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Fluxos alternativos: estoque insuficiente ou CA vencido — o sistema bloqueia o item e exibe mensagem orientando a correção.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Pós-condições: empréstimo com status ATIVO registrado e estoque atualizado.</w:t>
      </w:r>
    </w:p>
    <w:p>
      <w:pPr>
        <w:pStyle w:val="Heading1"/>
        <w:spacing w:after="200" w:before="320"/>
      </w:pPr>
      <w:r>
        <w:rPr>
          <w:rFonts w:ascii="Calibri" w:cs="Calibri" w:eastAsia="Calibri" w:hAnsi="Calibri"/>
        </w:rPr>
        <w:t xml:space="preserve">9. Wireframes das Telas</w:t>
      </w:r>
    </w:p>
    <w:p>
      <w:pPr>
        <w:spacing w:after="160" w:line="30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 protótipo de baixa fidelidade encontra-se no arquivo Wireframe_Sistema_EPI.html (navegável no navegador), contemplando as seguintes telas: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Login — autenticação com e-mail e senha;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Dashboard — indicadores de empréstimos ativos, atrasos, CAs a vencer e estoque mínimo;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Cadastro de Colaboradores — formulário com validações e listagem com busca e filtros (base da Etapa 2);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Cadastro de EPIs — formulário com CA, validade e estoque, e listagem com destaque para CAs próximos do vencimento;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Registrar Empréstimo — seleção do colaborador, inclusão de itens e emissão da ficha de entrega;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Devolução — listagem de empréstimos ativos/atrasados e registro da condição dos itens;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Usuários do Sistema — tela restrita ao perfil Administrador.</w:t>
      </w:r>
    </w:p>
    <w:p>
      <w:pPr>
        <w:spacing w:after="160" w:line="30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As telas seguem princípios de usabilidade: sinalização de campos obrigatórios, feedback das ações, consistência de navegação (menu lateral fixo), linguagem próxima do usuário e prevenção de erros.</w:t>
      </w:r>
    </w:p>
    <w:p>
      <w:pPr>
        <w:pStyle w:val="Heading1"/>
        <w:spacing w:after="200" w:before="320"/>
      </w:pPr>
      <w:r>
        <w:rPr>
          <w:rFonts w:ascii="Calibri" w:cs="Calibri" w:eastAsia="Calibri" w:hAnsi="Calibri"/>
        </w:rPr>
        <w:t xml:space="preserve">10. Tecnologias Sugeridas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Front-end: HTML5, CSS3 e JavaScript (ou framework como React/Next.js);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Back-end: Node.js (Express/NestJS) ou Python (FastAPI/Django);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Banco de dados: MySQL 8 (modelagem no MySQL Workbench) ou PostgreSQL;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Versionamento: Git e GitHub;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Prototipação e diagramas: Figma e Draw.io (diagrams.net).</w:t>
      </w:r>
    </w:p>
    <w:p>
      <w:pPr>
        <w:pStyle w:val="Heading1"/>
        <w:spacing w:after="200" w:before="320"/>
      </w:pPr>
      <w:r>
        <w:rPr>
          <w:rFonts w:ascii="Calibri" w:cs="Calibri" w:eastAsia="Calibri" w:hAnsi="Calibri"/>
        </w:rPr>
        <w:t xml:space="preserve">11. Rastreabilidade com os Critérios de Avaliação</w:t>
      </w:r>
    </w:p>
    <w:p>
      <w:pPr>
        <w:spacing w:after="160" w:line="30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 tabela abaixo relaciona cada critério de avaliação da Situação de Aprendizagem (UC de Desenvolvimento de Sistemas) aos requisitos e artefatos deste projeto, garantindo a rastreabilidade exigida pelos padrões de desempenho.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400"/>
        <w:gridCol w:w="4000"/>
      </w:tblGrid>
      <w:tr>
        <w:trPr>
          <w:tblHeader/>
        </w:trPr>
        <w:tc>
          <w:tcPr>
            <w:tcW w:type="dxa" w:w="3600"/>
            <w:shd w:fill="E8E8E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Critério de avaliação</w:t>
            </w:r>
          </w:p>
        </w:tc>
        <w:tc>
          <w:tcPr>
            <w:tcW w:type="dxa" w:w="1400"/>
            <w:shd w:fill="E8E8E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Classificação</w:t>
            </w:r>
          </w:p>
        </w:tc>
        <w:tc>
          <w:tcPr>
            <w:tcW w:type="dxa" w:w="4000"/>
            <w:shd w:fill="E8E8E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Requisitos / artefatos que o atendem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Implementou cadastro de EPIs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Crítico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RF02, RN02 — tela Cadastro de EPIs (wireframe), tabela epi (DER)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Implementou cadastro de colaboradores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Crítico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RF01 — tela Cadastro de Colaboradores (wireframe), tabela colaborador (DER)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Associação de empréstimo de EPIs aos colaboradores aderente à usabilidade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Crítico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RF05, RF06, RF07, RNF01 — telas Registrar Empréstimo e Devolução, tabelas emprestimo e item_emprestimo (DER), UC05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Disponibilizou códigos fontes que permitam o funcionamento correto do sistema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Crítico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RNF07 — repositório Git com README de instalação e script_banco_epi.sql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Implementou cadastro de usuários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Desejável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RF03, RF04 — tela Usuários do Sistema, tabela usuario (DER)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Implementou controle de estoque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Desejável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RF07, RF08, RN02, RN03 — baixa e retorno automáticos de estoque, alertas de estoque mínimo no Dashboard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Salvou o projeto em controlador de versão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Desejável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RNF07 — projeto versionado em Git (GitHub) com commits incrementais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Relatórios de empréstimos por equipamento ou colaborador (pontuação extra)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Bônus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RF09, RF10 — tela Relatórios e emissão da ficha de entrega (NR-6)</w:t>
            </w:r>
          </w:p>
        </w:tc>
      </w:tr>
    </w:tbl>
    <w:p>
      <w:pPr>
        <w:spacing w:after="160" w:line="30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160" w:line="30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Os testes de usabilidade previstos na UC de Teste de Software serão conduzidos sobre as telas deste sistema com base nas 10 heurísticas de Nielsen (RNF01), gerando o plano de execução de testes com problemas percebidos, heurísticas violadas e soluções propostas.</w:t>
      </w:r>
    </w:p>
    <w:p>
      <w:pPr>
        <w:pStyle w:val="Heading1"/>
        <w:spacing w:after="200" w:before="320"/>
      </w:pPr>
      <w:r>
        <w:rPr>
          <w:rFonts w:ascii="Calibri" w:cs="Calibri" w:eastAsia="Calibri" w:hAnsi="Calibri"/>
        </w:rPr>
        <w:t xml:space="preserve">12. Referências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Norma Regulamentadora nº 6 (NR-6) — Equipamento de Proteção Individual, Ministério do Trabalho e Emprego;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Norma Regulamentadora nº 18 (NR-18) — Segurança e Saúde no Trabalho na Indústria da Construção;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ISO 9241 — Ergonomia da interação humano-sistema;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NIELSEN, J. 10 Usability Heuristics for User Interface Design;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Lei nº 13.709/2018 — Lei Geral de Proteção de Dados Pessoais (LGPD);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SOMMERVILLE, I. Engenharia de Software. 10ª ed. Pearson.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2E549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2026-07-13T23:12:34.004Z</dcterms:created>
  <dcterms:modified xsi:type="dcterms:W3CDTF">2026-07-13T23:12:34.017Z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