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Voorblad</w:t>
      </w:r>
    </w:p>
    <w:p>
      <w:r>
        <w:t>Project: AWZI Haarlem Waarderpolder (demo)</w:t>
      </w:r>
    </w:p>
    <w:p>
      <w:r>
        <w:t>Modelleur: RCM2 demo</w:t>
      </w:r>
    </w:p>
    <w:p>
      <w:r>
        <w:t>Datum: 2026-06-03</w:t>
      </w:r>
    </w:p>
    <w:p>
      <w:r>
        <w:t>Enkele analyse</w:t>
      </w:r>
    </w:p>
    <w:p>
      <w:r>
        <w:t>Scenario's: A: A — project</w:t>
      </w:r>
    </w:p>
    <w:p>
      <w:pPr>
        <w:pStyle w:val="Heading1"/>
      </w:pPr>
      <w:r>
        <w:t>KPI's</w:t>
      </w:r>
    </w:p>
    <w:p>
      <w:r>
        <w:t>LCC-periode: 60 jaar — modeljaar: 2026</w:t>
      </w:r>
    </w:p>
    <w:p>
      <w:r>
        <w:t>De KPI's hieronder zijn gebaseerd op de voltooide motorrun(s) met vaste projectscope.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Huidige analyse</w:t>
            </w:r>
          </w:p>
        </w:tc>
      </w:tr>
      <w:tr>
        <w:tc>
          <w:tcPr>
            <w:tcW w:type="dxa" w:w="4320"/>
          </w:tcPr>
          <w:p>
            <w:r>
              <w:t>Lifecycle faalmomenten</w:t>
            </w:r>
          </w:p>
        </w:tc>
        <w:tc>
          <w:tcPr>
            <w:tcW w:type="dxa" w:w="4320"/>
          </w:tcPr>
          <w:p>
            <w:r>
              <w:t>1.833,30</w:t>
            </w:r>
          </w:p>
        </w:tc>
      </w:tr>
      <w:tr>
        <w:tc>
          <w:tcPr>
            <w:tcW w:type="dxa" w:w="4320"/>
          </w:tcPr>
          <w:p>
            <w:r>
              <w:t>Niet-beschikbaarheid (%)</w:t>
            </w:r>
          </w:p>
        </w:tc>
        <w:tc>
          <w:tcPr>
            <w:tcW w:type="dxa" w:w="4320"/>
          </w:tcPr>
          <w:p>
            <w:r>
              <w:t>28,9504 %</w:t>
            </w:r>
          </w:p>
        </w:tc>
      </w:tr>
      <w:tr>
        <w:tc>
          <w:tcPr>
            <w:tcW w:type="dxa" w:w="4320"/>
          </w:tcPr>
          <w:p>
            <w:r>
              <w:t>Lifecycle kosten (EUR)</w:t>
            </w:r>
          </w:p>
        </w:tc>
        <w:tc>
          <w:tcPr>
            <w:tcW w:type="dxa" w:w="4320"/>
          </w:tcPr>
          <w:p>
            <w:r>
              <w:t>€ 23.004.315,18</w:t>
            </w:r>
          </w:p>
        </w:tc>
      </w:tr>
      <w:tr>
        <w:tc>
          <w:tcPr>
            <w:tcW w:type="dxa" w:w="4320"/>
          </w:tcPr>
          <w:p>
            <w:r>
              <w:t>PM-taken actief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</w:tbl>
    <w:p>
      <w:pPr>
        <w:pStyle w:val="Heading1"/>
      </w:pPr>
      <w:r>
        <w:t>Projectoverzicht</w:t>
      </w:r>
    </w:p>
    <w:p>
      <w:pPr>
        <w:pStyle w:val="Heading2"/>
      </w:pPr>
      <w:r>
        <w:t>Project — niet-beschikbaarheid — A — project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Jaarverdeling uit het motor-horizonprofiel (correctieve downtime + verborgen niet-beschikbaarheid). Lifecycle-totalen reconciliëren met de motor.</w:t>
      </w:r>
    </w:p>
    <w:p>
      <w:pPr>
        <w:pStyle w:val="Heading2"/>
      </w:pPr>
      <w:r>
        <w:t>Project — lifecycle kosten — A — project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— project</w:t>
      </w:r>
    </w:p>
    <w:p>
      <w:pPr>
        <w:pStyle w:val="Heading1"/>
      </w:pPr>
      <w:r>
        <w:t>Niet-beschikbaarheid: Biogasproductie op peil houden — effectklassen: Biogasproductie verminderd</w:t>
      </w:r>
    </w:p>
    <w:p>
      <w:r>
        <w:t>Functie-aandeel t.o.v. project (nb): 57.10% (projecttotaal-context: 57.10%).</w:t>
      </w:r>
    </w:p>
    <w:p>
      <w:r>
        <w:t>Gekoppelde effectklassen: Biogasproductie verminderd.</w:t>
      </w:r>
    </w:p>
    <w:p>
      <w:pPr>
        <w:pStyle w:val="Heading2"/>
      </w:pPr>
      <w:r>
        <w:t>Top 10 — A —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Waarde</w:t>
            </w:r>
          </w:p>
        </w:tc>
        <w:tc>
          <w:tcPr>
            <w:tcW w:type="dxa" w:w="2880"/>
          </w:tcPr>
          <w:p>
            <w:r>
              <w:t>Aandeel %</w:t>
            </w:r>
          </w:p>
        </w:tc>
      </w:tr>
      <w:tr>
        <w:tc>
          <w:tcPr>
            <w:tcW w:type="dxa" w:w="2880"/>
          </w:tcPr>
          <w:p>
            <w:r>
              <w:t>Ephyra-compartimenten (propstroom)</w:t>
            </w:r>
          </w:p>
        </w:tc>
        <w:tc>
          <w:tcPr>
            <w:tcW w:type="dxa" w:w="2880"/>
          </w:tcPr>
          <w:p>
            <w:r>
              <w:t>8.40</w:t>
            </w:r>
          </w:p>
        </w:tc>
        <w:tc>
          <w:tcPr>
            <w:tcW w:type="dxa" w:w="2880"/>
          </w:tcPr>
          <w:p>
            <w:r>
              <w:t>29.0%</w:t>
            </w:r>
          </w:p>
        </w:tc>
      </w:tr>
      <w:tr>
        <w:tc>
          <w:tcPr>
            <w:tcW w:type="dxa" w:w="2880"/>
          </w:tcPr>
          <w:p>
            <w:r>
              <w:t>Condensaatafvoersysteem</w:t>
            </w:r>
          </w:p>
        </w:tc>
        <w:tc>
          <w:tcPr>
            <w:tcW w:type="dxa" w:w="2880"/>
          </w:tcPr>
          <w:p>
            <w:r>
              <w:t>7.94</w:t>
            </w:r>
          </w:p>
        </w:tc>
        <w:tc>
          <w:tcPr>
            <w:tcW w:type="dxa" w:w="2880"/>
          </w:tcPr>
          <w:p>
            <w:r>
              <w:t>27.4%</w:t>
            </w:r>
          </w:p>
        </w:tc>
      </w:tr>
      <w:tr>
        <w:tc>
          <w:tcPr>
            <w:tcW w:type="dxa" w:w="2880"/>
          </w:tcPr>
          <w:p>
            <w:r>
              <w:t>Warmtebuffer</w:t>
            </w:r>
          </w:p>
        </w:tc>
        <w:tc>
          <w:tcPr>
            <w:tcW w:type="dxa" w:w="2880"/>
          </w:tcPr>
          <w:p>
            <w:r>
              <w:t>4.70</w:t>
            </w:r>
          </w:p>
        </w:tc>
        <w:tc>
          <w:tcPr>
            <w:tcW w:type="dxa" w:w="2880"/>
          </w:tcPr>
          <w:p>
            <w:r>
              <w:t>16.3%</w:t>
            </w:r>
          </w:p>
        </w:tc>
      </w:tr>
      <w:tr>
        <w:tc>
          <w:tcPr>
            <w:tcW w:type="dxa" w:w="2880"/>
          </w:tcPr>
          <w:p>
            <w:r>
              <w:t>Slibgistingstoren SGT-1 (renovatie Ephyra)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Slibgistingstoren SGT-2 (gerenoveerd 2022)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Slibgistingstoren SGT-3 (nieuwbouw / USB buffer)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Warmtepompinstallatie TEA (Aquathermie)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  <w:tr>
        <w:tc>
          <w:tcPr>
            <w:tcW w:type="dxa" w:w="2880"/>
          </w:tcPr>
          <w:p>
            <w:r>
              <w:t>Chemicaliëndosering NaOH/H2SO4</w:t>
            </w:r>
          </w:p>
        </w:tc>
        <w:tc>
          <w:tcPr>
            <w:tcW w:type="dxa" w:w="2880"/>
          </w:tcPr>
          <w:p>
            <w:r>
              <w:t>0.29</w:t>
            </w:r>
          </w:p>
        </w:tc>
        <w:tc>
          <w:tcPr>
            <w:tcW w:type="dxa" w:w="2880"/>
          </w:tcPr>
          <w:p>
            <w:r>
              <w:t>1.0%</w:t>
            </w:r>
          </w:p>
        </w:tc>
      </w:tr>
      <w:tr>
        <w:tc>
          <w:tcPr>
            <w:tcW w:type="dxa" w:w="2880"/>
          </w:tcPr>
          <w:p>
            <w:r>
              <w:t>Polymeer doseersysteem</w:t>
            </w:r>
          </w:p>
        </w:tc>
        <w:tc>
          <w:tcPr>
            <w:tcW w:type="dxa" w:w="2880"/>
          </w:tcPr>
          <w:p>
            <w:r>
              <w:t>0.27</w:t>
            </w:r>
          </w:p>
        </w:tc>
        <w:tc>
          <w:tcPr>
            <w:tcW w:type="dxa" w:w="2880"/>
          </w:tcPr>
          <w:p>
            <w:r>
              <w:t>0.9%</w:t>
            </w:r>
          </w:p>
        </w:tc>
      </w:tr>
      <w:tr>
        <w:tc>
          <w:tcPr>
            <w:tcW w:type="dxa" w:w="2880"/>
          </w:tcPr>
          <w:p>
            <w:r>
              <w:t>Luchtstripper rejectwater</w:t>
            </w:r>
          </w:p>
        </w:tc>
        <w:tc>
          <w:tcPr>
            <w:tcW w:type="dxa" w:w="2880"/>
          </w:tcPr>
          <w:p>
            <w:r>
              <w:t>0.18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</w:tbl>
    <w:p>
      <w:pPr>
        <w:pStyle w:val="Heading2"/>
      </w:pPr>
      <w:r>
        <w:t>Tijdsplot — A — project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Jaarverdeling uit het motor-horizonprofiel (correctieve downtime + verborgen niet-beschikbaarheid). Lifecycle-totalen reconciliëren met de motor.</w:t>
      </w:r>
    </w:p>
    <w:p>
      <w:pPr>
        <w:pStyle w:val="Heading2"/>
      </w:pPr>
      <w:r>
        <w:t>PBS-opbouw — A —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Waarde</w:t>
            </w:r>
          </w:p>
        </w:tc>
        <w:tc>
          <w:tcPr>
            <w:tcW w:type="dxa" w:w="2880"/>
          </w:tcPr>
          <w:p>
            <w:r>
              <w:t>Aandeel %</w:t>
            </w:r>
          </w:p>
        </w:tc>
      </w:tr>
      <w:tr>
        <w:tc>
          <w:tcPr>
            <w:tcW w:type="dxa" w:w="2880"/>
          </w:tcPr>
          <w:p>
            <w:r>
              <w:t>Ephyra-compartimenten (propstroom)</w:t>
            </w:r>
          </w:p>
        </w:tc>
        <w:tc>
          <w:tcPr>
            <w:tcW w:type="dxa" w:w="2880"/>
          </w:tcPr>
          <w:p>
            <w:r>
              <w:t>8.40</w:t>
            </w:r>
          </w:p>
        </w:tc>
        <w:tc>
          <w:tcPr>
            <w:tcW w:type="dxa" w:w="2880"/>
          </w:tcPr>
          <w:p>
            <w:r>
              <w:t>29.0%</w:t>
            </w:r>
          </w:p>
        </w:tc>
      </w:tr>
      <w:tr>
        <w:tc>
          <w:tcPr>
            <w:tcW w:type="dxa" w:w="2880"/>
          </w:tcPr>
          <w:p>
            <w:r>
              <w:t>Condensaatafvoersysteem</w:t>
            </w:r>
          </w:p>
        </w:tc>
        <w:tc>
          <w:tcPr>
            <w:tcW w:type="dxa" w:w="2880"/>
          </w:tcPr>
          <w:p>
            <w:r>
              <w:t>7.94</w:t>
            </w:r>
          </w:p>
        </w:tc>
        <w:tc>
          <w:tcPr>
            <w:tcW w:type="dxa" w:w="2880"/>
          </w:tcPr>
          <w:p>
            <w:r>
              <w:t>27.4%</w:t>
            </w:r>
          </w:p>
        </w:tc>
      </w:tr>
      <w:tr>
        <w:tc>
          <w:tcPr>
            <w:tcW w:type="dxa" w:w="2880"/>
          </w:tcPr>
          <w:p>
            <w:r>
              <w:t>Warmtebuffer</w:t>
            </w:r>
          </w:p>
        </w:tc>
        <w:tc>
          <w:tcPr>
            <w:tcW w:type="dxa" w:w="2880"/>
          </w:tcPr>
          <w:p>
            <w:r>
              <w:t>4.70</w:t>
            </w:r>
          </w:p>
        </w:tc>
        <w:tc>
          <w:tcPr>
            <w:tcW w:type="dxa" w:w="2880"/>
          </w:tcPr>
          <w:p>
            <w:r>
              <w:t>16.3%</w:t>
            </w:r>
          </w:p>
        </w:tc>
      </w:tr>
      <w:tr>
        <w:tc>
          <w:tcPr>
            <w:tcW w:type="dxa" w:w="2880"/>
          </w:tcPr>
          <w:p>
            <w:r>
              <w:t>Slibgistingstoren SGT-1 (renovatie Ephyra)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Slibgistingstoren SGT-2 (gerenoveerd 2022)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Slibgistingstoren SGT-3 (nieuwbouw / USB buffer)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Warmtepompinstallatie TEA (Aquathermie)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  <w:tr>
        <w:tc>
          <w:tcPr>
            <w:tcW w:type="dxa" w:w="2880"/>
          </w:tcPr>
          <w:p>
            <w:r>
              <w:t>Chemicaliëndosering NaOH/H2SO4</w:t>
            </w:r>
          </w:p>
        </w:tc>
        <w:tc>
          <w:tcPr>
            <w:tcW w:type="dxa" w:w="2880"/>
          </w:tcPr>
          <w:p>
            <w:r>
              <w:t>0.29</w:t>
            </w:r>
          </w:p>
        </w:tc>
        <w:tc>
          <w:tcPr>
            <w:tcW w:type="dxa" w:w="2880"/>
          </w:tcPr>
          <w:p>
            <w:r>
              <w:t>1.0%</w:t>
            </w:r>
          </w:p>
        </w:tc>
      </w:tr>
      <w:tr>
        <w:tc>
          <w:tcPr>
            <w:tcW w:type="dxa" w:w="2880"/>
          </w:tcPr>
          <w:p>
            <w:r>
              <w:t>Polymeer doseersysteem</w:t>
            </w:r>
          </w:p>
        </w:tc>
        <w:tc>
          <w:tcPr>
            <w:tcW w:type="dxa" w:w="2880"/>
          </w:tcPr>
          <w:p>
            <w:r>
              <w:t>0.27</w:t>
            </w:r>
          </w:p>
        </w:tc>
        <w:tc>
          <w:tcPr>
            <w:tcW w:type="dxa" w:w="2880"/>
          </w:tcPr>
          <w:p>
            <w:r>
              <w:t>0.9%</w:t>
            </w:r>
          </w:p>
        </w:tc>
      </w:tr>
      <w:tr>
        <w:tc>
          <w:tcPr>
            <w:tcW w:type="dxa" w:w="2880"/>
          </w:tcPr>
          <w:p>
            <w:r>
              <w:t>Luchtstripper rejectwater</w:t>
            </w:r>
          </w:p>
        </w:tc>
        <w:tc>
          <w:tcPr>
            <w:tcW w:type="dxa" w:w="2880"/>
          </w:tcPr>
          <w:p>
            <w:r>
              <w:t>0.18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</w:tbl>
    <w:p>
      <w:pPr>
        <w:pStyle w:val="Heading1"/>
      </w:pPr>
      <w:r>
        <w:t>Kosten: Extra kosten door maatregelen en incidenten beperken — effectklassen: Extra kosten t.g.v. maatregelen, Kostenklasse A: &lt; 6 kEUR, Kostenklasse B: 6-25 kEUR, Kostenklasse C: 25-75 kEUR, Kostenklasse D: 75-250 kEUR, Kostenklasse E: &gt; 250 kEUR</w:t>
      </w:r>
    </w:p>
    <w:p>
      <w:r>
        <w:t>Functie-aandeel t.o.v. project (kosten): 100.00% (projecttotaal-context: 100.00%).</w:t>
      </w:r>
    </w:p>
    <w:p>
      <w:r>
        <w:t>Gekoppelde effectklassen: Extra kosten t.g.v. maatregelen, Kostenklasse A: &lt; 6 kEUR, Kostenklasse B: 6-25 kEUR, Kostenklasse C: 25-75 kEUR, Kostenklasse D: 75-250 kEUR, Kostenklasse E: &gt; 250 kEUR.</w:t>
      </w:r>
    </w:p>
    <w:p>
      <w:pPr>
        <w:pStyle w:val="Heading2"/>
      </w:pPr>
      <w:r>
        <w:t>Top 10 — A —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Waarde</w:t>
            </w:r>
          </w:p>
        </w:tc>
        <w:tc>
          <w:tcPr>
            <w:tcW w:type="dxa" w:w="2880"/>
          </w:tcPr>
          <w:p>
            <w:r>
              <w:t>Aandeel %</w:t>
            </w:r>
          </w:p>
        </w:tc>
      </w:tr>
      <w:tr>
        <w:tc>
          <w:tcPr>
            <w:tcW w:type="dxa" w:w="2880"/>
          </w:tcPr>
          <w:p>
            <w:r>
              <w:t>Influentbuffer / verdeelwerk (vrij verval na eerste opvoer)</w:t>
            </w:r>
          </w:p>
        </w:tc>
        <w:tc>
          <w:tcPr>
            <w:tcW w:type="dxa" w:w="2880"/>
          </w:tcPr>
          <w:p>
            <w:r>
              <w:t>1837217.97</w:t>
            </w:r>
          </w:p>
        </w:tc>
        <w:tc>
          <w:tcPr>
            <w:tcW w:type="dxa" w:w="2880"/>
          </w:tcPr>
          <w:p>
            <w:r>
              <w:t>8.0%</w:t>
            </w:r>
          </w:p>
        </w:tc>
      </w:tr>
      <w:tr>
        <w:tc>
          <w:tcPr>
            <w:tcW w:type="dxa" w:w="2880"/>
          </w:tcPr>
          <w:p>
            <w:r>
              <w:t>Temperatuursensor Pt100</w:t>
            </w:r>
          </w:p>
        </w:tc>
        <w:tc>
          <w:tcPr>
            <w:tcW w:type="dxa" w:w="2880"/>
          </w:tcPr>
          <w:p>
            <w:r>
              <w:t>1003771.50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  <w:tr>
        <w:tc>
          <w:tcPr>
            <w:tcW w:type="dxa" w:w="2880"/>
          </w:tcPr>
          <w:p>
            <w:r>
              <w:t>Nereda-controller (SBR-cycluscoördinatie)</w:t>
            </w:r>
          </w:p>
        </w:tc>
        <w:tc>
          <w:tcPr>
            <w:tcW w:type="dxa" w:w="2880"/>
          </w:tcPr>
          <w:p>
            <w:r>
              <w:t>935000.00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  <w:tr>
        <w:tc>
          <w:tcPr>
            <w:tcW w:type="dxa" w:w="2880"/>
          </w:tcPr>
          <w:p>
            <w:r>
              <w:t>Niveaumeting</w:t>
            </w:r>
          </w:p>
        </w:tc>
        <w:tc>
          <w:tcPr>
            <w:tcW w:type="dxa" w:w="2880"/>
          </w:tcPr>
          <w:p>
            <w:r>
              <w:t>791822.28</w:t>
            </w:r>
          </w:p>
        </w:tc>
        <w:tc>
          <w:tcPr>
            <w:tcW w:type="dxa" w:w="2880"/>
          </w:tcPr>
          <w:p>
            <w:r>
              <w:t>3.4%</w:t>
            </w:r>
          </w:p>
        </w:tc>
      </w:tr>
      <w:tr>
        <w:tc>
          <w:tcPr>
            <w:tcW w:type="dxa" w:w="2880"/>
          </w:tcPr>
          <w:p>
            <w:r>
              <w:t>Vlamkerenden (PGS 25)</w:t>
            </w:r>
          </w:p>
        </w:tc>
        <w:tc>
          <w:tcPr>
            <w:tcW w:type="dxa" w:w="2880"/>
          </w:tcPr>
          <w:p>
            <w:r>
              <w:t>675000.00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Warmtepompinstallatie TEA (Aquathermie)</w:t>
            </w:r>
          </w:p>
        </w:tc>
        <w:tc>
          <w:tcPr>
            <w:tcW w:type="dxa" w:w="2880"/>
          </w:tcPr>
          <w:p>
            <w:r>
              <w:t>598392.96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pH-sensor</w:t>
            </w:r>
          </w:p>
        </w:tc>
        <w:tc>
          <w:tcPr>
            <w:tcW w:type="dxa" w:w="2880"/>
          </w:tcPr>
          <w:p>
            <w:r>
              <w:t>544548.19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Gashouder secundair</w:t>
            </w:r>
          </w:p>
        </w:tc>
        <w:tc>
          <w:tcPr>
            <w:tcW w:type="dxa" w:w="2880"/>
          </w:tcPr>
          <w:p>
            <w:r>
              <w:t>532621.34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  <w:tr>
        <w:tc>
          <w:tcPr>
            <w:tcW w:type="dxa" w:w="2880"/>
          </w:tcPr>
          <w:p>
            <w:r>
              <w:t>Effluent-/rejectbuffer deelstroom</w:t>
            </w:r>
          </w:p>
        </w:tc>
        <w:tc>
          <w:tcPr>
            <w:tcW w:type="dxa" w:w="2880"/>
          </w:tcPr>
          <w:p>
            <w:r>
              <w:t>532621.34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  <w:tr>
        <w:tc>
          <w:tcPr>
            <w:tcW w:type="dxa" w:w="2880"/>
          </w:tcPr>
          <w:p>
            <w:r>
              <w:t>Gasnetaansluiting</w:t>
            </w:r>
          </w:p>
        </w:tc>
        <w:tc>
          <w:tcPr>
            <w:tcW w:type="dxa" w:w="2880"/>
          </w:tcPr>
          <w:p>
            <w:r>
              <w:t>532621.34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</w:tbl>
    <w:p>
      <w:pPr>
        <w:pStyle w:val="Heading2"/>
      </w:pPr>
      <w:r>
        <w:t>LCC — A — project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— project</w:t>
      </w:r>
    </w:p>
    <w:p>
      <w:pPr>
        <w:pStyle w:val="Heading2"/>
      </w:pPr>
      <w:r>
        <w:t>PBS-opbouw — A —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Waarde</w:t>
            </w:r>
          </w:p>
        </w:tc>
        <w:tc>
          <w:tcPr>
            <w:tcW w:type="dxa" w:w="2880"/>
          </w:tcPr>
          <w:p>
            <w:r>
              <w:t>Aandeel %</w:t>
            </w:r>
          </w:p>
        </w:tc>
      </w:tr>
      <w:tr>
        <w:tc>
          <w:tcPr>
            <w:tcW w:type="dxa" w:w="2880"/>
          </w:tcPr>
          <w:p>
            <w:r>
              <w:t>Influentbuffer / verdeelwerk (vrij verval na eerste opvoer)</w:t>
            </w:r>
          </w:p>
        </w:tc>
        <w:tc>
          <w:tcPr>
            <w:tcW w:type="dxa" w:w="2880"/>
          </w:tcPr>
          <w:p>
            <w:r>
              <w:t>1837217.97</w:t>
            </w:r>
          </w:p>
        </w:tc>
        <w:tc>
          <w:tcPr>
            <w:tcW w:type="dxa" w:w="2880"/>
          </w:tcPr>
          <w:p>
            <w:r>
              <w:t>8.0%</w:t>
            </w:r>
          </w:p>
        </w:tc>
      </w:tr>
      <w:tr>
        <w:tc>
          <w:tcPr>
            <w:tcW w:type="dxa" w:w="2880"/>
          </w:tcPr>
          <w:p>
            <w:r>
              <w:t>Temperatuursensor Pt100</w:t>
            </w:r>
          </w:p>
        </w:tc>
        <w:tc>
          <w:tcPr>
            <w:tcW w:type="dxa" w:w="2880"/>
          </w:tcPr>
          <w:p>
            <w:r>
              <w:t>1003771.50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  <w:tr>
        <w:tc>
          <w:tcPr>
            <w:tcW w:type="dxa" w:w="2880"/>
          </w:tcPr>
          <w:p>
            <w:r>
              <w:t>Nereda-controller (SBR-cycluscoördinatie)</w:t>
            </w:r>
          </w:p>
        </w:tc>
        <w:tc>
          <w:tcPr>
            <w:tcW w:type="dxa" w:w="2880"/>
          </w:tcPr>
          <w:p>
            <w:r>
              <w:t>935000.00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  <w:tr>
        <w:tc>
          <w:tcPr>
            <w:tcW w:type="dxa" w:w="2880"/>
          </w:tcPr>
          <w:p>
            <w:r>
              <w:t>Niveaumeting</w:t>
            </w:r>
          </w:p>
        </w:tc>
        <w:tc>
          <w:tcPr>
            <w:tcW w:type="dxa" w:w="2880"/>
          </w:tcPr>
          <w:p>
            <w:r>
              <w:t>791822.28</w:t>
            </w:r>
          </w:p>
        </w:tc>
        <w:tc>
          <w:tcPr>
            <w:tcW w:type="dxa" w:w="2880"/>
          </w:tcPr>
          <w:p>
            <w:r>
              <w:t>3.4%</w:t>
            </w:r>
          </w:p>
        </w:tc>
      </w:tr>
      <w:tr>
        <w:tc>
          <w:tcPr>
            <w:tcW w:type="dxa" w:w="2880"/>
          </w:tcPr>
          <w:p>
            <w:r>
              <w:t>Vlamkerenden (PGS 25)</w:t>
            </w:r>
          </w:p>
        </w:tc>
        <w:tc>
          <w:tcPr>
            <w:tcW w:type="dxa" w:w="2880"/>
          </w:tcPr>
          <w:p>
            <w:r>
              <w:t>675000.00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Warmtepompinstallatie TEA (Aquathermie)</w:t>
            </w:r>
          </w:p>
        </w:tc>
        <w:tc>
          <w:tcPr>
            <w:tcW w:type="dxa" w:w="2880"/>
          </w:tcPr>
          <w:p>
            <w:r>
              <w:t>598392.96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pH-sensor</w:t>
            </w:r>
          </w:p>
        </w:tc>
        <w:tc>
          <w:tcPr>
            <w:tcW w:type="dxa" w:w="2880"/>
          </w:tcPr>
          <w:p>
            <w:r>
              <w:t>544548.19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Gashouder secundair</w:t>
            </w:r>
          </w:p>
        </w:tc>
        <w:tc>
          <w:tcPr>
            <w:tcW w:type="dxa" w:w="2880"/>
          </w:tcPr>
          <w:p>
            <w:r>
              <w:t>532621.34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  <w:tr>
        <w:tc>
          <w:tcPr>
            <w:tcW w:type="dxa" w:w="2880"/>
          </w:tcPr>
          <w:p>
            <w:r>
              <w:t>Effluent-/rejectbuffer deelstroom</w:t>
            </w:r>
          </w:p>
        </w:tc>
        <w:tc>
          <w:tcPr>
            <w:tcW w:type="dxa" w:w="2880"/>
          </w:tcPr>
          <w:p>
            <w:r>
              <w:t>532621.34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  <w:tr>
        <w:tc>
          <w:tcPr>
            <w:tcW w:type="dxa" w:w="2880"/>
          </w:tcPr>
          <w:p>
            <w:r>
              <w:t>Gasnetaansluiting</w:t>
            </w:r>
          </w:p>
        </w:tc>
        <w:tc>
          <w:tcPr>
            <w:tcW w:type="dxa" w:w="2880"/>
          </w:tcPr>
          <w:p>
            <w:r>
              <w:t>532621.34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</w:tbl>
    <w:p>
      <w:pPr>
        <w:pStyle w:val="Heading1"/>
      </w:pPr>
      <w:r>
        <w:t>Appendix</w:t>
      </w:r>
    </w:p>
    <w:p>
      <w:r>
        <w:t>Jaarverdeling uit het motor-horizonprofiel (correctieve downtime + verborgen niet-beschikbaarheid). Lifecycle-totalen reconciliëren met de motor.</w:t>
      </w:r>
    </w:p>
    <w:p>
      <w:r>
        <w:t>Som van functie-NB kan &gt;100% zijn wanneer functies parallel uitvallen.</w:t>
      </w:r>
    </w:p>
    <w:p>
      <w:r>
        <w:t>0 NB-functie(s) en 0 kosten-functie(s) onder drempel weggelaten.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