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Voorblad</w:t>
      </w:r>
    </w:p>
    <w:p>
      <w:r>
        <w:t>Project: Modellering door Delta Pi</w:t>
      </w:r>
    </w:p>
    <w:p>
      <w:r>
        <w:t>Modelleur: —</w:t>
      </w:r>
    </w:p>
    <w:p>
      <w:r>
        <w:t>Datum: 2026-06-13</w:t>
      </w:r>
    </w:p>
    <w:p>
      <w:r>
        <w:t>Vergelijking A ↔ B</w:t>
      </w:r>
    </w:p>
    <w:p>
      <w:r>
        <w:t>Scenario's: A: A — project, 235 PM passief; B: B — project, 235 PM passief</w:t>
      </w:r>
    </w:p>
    <w:p>
      <w:pPr>
        <w:pStyle w:val="Heading1"/>
      </w:pPr>
      <w:r>
        <w:t>KPI's</w:t>
      </w:r>
    </w:p>
    <w:p>
      <w:r>
        <w:t>LCC-periode: 50 jaar — modeljaar: 2026</w:t>
      </w:r>
    </w:p>
    <w:p>
      <w:r>
        <w:t>De KPI's hieronder zijn gebaseerd op de voltooide motorrun(s) met vaste projectscope.</w:t>
      </w:r>
    </w:p>
    <w:tbl>
      <w:tblPr>
        <w:tblW w:type="auto" w:w="0"/>
        <w:tblLook w:firstColumn="1" w:firstRow="1" w:lastColumn="0" w:lastRow="0" w:noHBand="0" w:noVBand="1" w:val="04A0"/>
      </w:tblPr>
      <w:tblGrid>
        <w:gridCol w:w="2160"/>
        <w:gridCol w:w="2160"/>
        <w:gridCol w:w="2160"/>
        <w:gridCol w:w="2160"/>
      </w:tblGrid>
      <w:tr>
        <w:tc>
          <w:tcPr>
            <w:tcW w:type="dxa" w:w="2160"/>
          </w:tcPr>
          <w:p>
            <w:r>
              <w:t>KPI</w:t>
            </w:r>
          </w:p>
        </w:tc>
        <w:tc>
          <w:tcPr>
            <w:tcW w:type="dxa" w:w="2160"/>
          </w:tcPr>
          <w:p>
            <w:r>
              <w:t>A — project, 235 PM passief</w:t>
            </w:r>
          </w:p>
        </w:tc>
        <w:tc>
          <w:tcPr>
            <w:tcW w:type="dxa" w:w="2160"/>
          </w:tcPr>
          <w:p>
            <w:r>
              <w:t>B — project, 235 PM passief</w:t>
            </w:r>
          </w:p>
        </w:tc>
        <w:tc>
          <w:tcPr>
            <w:tcW w:type="dxa" w:w="2160"/>
          </w:tcPr>
          <w:p>
            <w:r>
              <w:t>Δ (abs.)</w:t>
            </w:r>
          </w:p>
        </w:tc>
      </w:tr>
      <w:tr>
        <w:tc>
          <w:tcPr>
            <w:tcW w:type="dxa" w:w="2160"/>
          </w:tcPr>
          <w:p>
            <w:r>
              <w:t>Lifecycle faalmomenten</w:t>
            </w:r>
          </w:p>
        </w:tc>
        <w:tc>
          <w:tcPr>
            <w:tcW w:type="dxa" w:w="2160"/>
          </w:tcPr>
          <w:p>
            <w:r>
              <w:t>9.947,76</w:t>
            </w:r>
          </w:p>
        </w:tc>
        <w:tc>
          <w:tcPr>
            <w:tcW w:type="dxa" w:w="2160"/>
          </w:tcPr>
          <w:p>
            <w:r>
              <w:t>9.947,76</w:t>
            </w:r>
          </w:p>
        </w:tc>
        <w:tc>
          <w:tcPr>
            <w:tcW w:type="dxa" w:w="2160"/>
          </w:tcPr>
          <w:p/>
        </w:tc>
      </w:tr>
      <w:tr>
        <w:tc>
          <w:tcPr>
            <w:tcW w:type="dxa" w:w="2160"/>
          </w:tcPr>
          <w:p>
            <w:r>
              <w:t>Niet-beschikbaarheid (%)</w:t>
            </w:r>
          </w:p>
        </w:tc>
        <w:tc>
          <w:tcPr>
            <w:tcW w:type="dxa" w:w="2160"/>
          </w:tcPr>
          <w:p>
            <w:r>
              <w:t>388,4397 %</w:t>
            </w:r>
          </w:p>
        </w:tc>
        <w:tc>
          <w:tcPr>
            <w:tcW w:type="dxa" w:w="2160"/>
          </w:tcPr>
          <w:p>
            <w:r>
              <w:t>388,4397 %</w:t>
            </w:r>
          </w:p>
        </w:tc>
        <w:tc>
          <w:tcPr>
            <w:tcW w:type="dxa" w:w="2160"/>
          </w:tcPr>
          <w:p>
            <w:r>
              <w:t>0,0000 %</w:t>
            </w:r>
          </w:p>
        </w:tc>
      </w:tr>
      <w:tr>
        <w:tc>
          <w:tcPr>
            <w:tcW w:type="dxa" w:w="2160"/>
          </w:tcPr>
          <w:p>
            <w:r>
              <w:t>Lifecycle kosten (EUR)</w:t>
            </w:r>
          </w:p>
        </w:tc>
        <w:tc>
          <w:tcPr>
            <w:tcW w:type="dxa" w:w="2160"/>
          </w:tcPr>
          <w:p>
            <w:r>
              <w:t>€ 160.569.577,81</w:t>
            </w:r>
          </w:p>
        </w:tc>
        <w:tc>
          <w:tcPr>
            <w:tcW w:type="dxa" w:w="2160"/>
          </w:tcPr>
          <w:p>
            <w:r>
              <w:t>€ 160.569.577,81</w:t>
            </w:r>
          </w:p>
        </w:tc>
        <w:tc>
          <w:tcPr>
            <w:tcW w:type="dxa" w:w="2160"/>
          </w:tcPr>
          <w:p>
            <w:r>
              <w:t>€ 0,00</w:t>
            </w:r>
          </w:p>
        </w:tc>
      </w:tr>
      <w:tr>
        <w:tc>
          <w:tcPr>
            <w:tcW w:type="dxa" w:w="2160"/>
          </w:tcPr>
          <w:p>
            <w:r>
              <w:t>PM-taken actief</w:t>
            </w:r>
          </w:p>
        </w:tc>
        <w:tc>
          <w:tcPr>
            <w:tcW w:type="dxa" w:w="2160"/>
          </w:tcPr>
          <w:p>
            <w:r>
              <w:t>403</w:t>
            </w:r>
          </w:p>
        </w:tc>
        <w:tc>
          <w:tcPr>
            <w:tcW w:type="dxa" w:w="2160"/>
          </w:tcPr>
          <w:p>
            <w:r>
              <w:t>403</w:t>
            </w:r>
          </w:p>
        </w:tc>
        <w:tc>
          <w:tcPr>
            <w:tcW w:type="dxa" w:w="2160"/>
          </w:tcPr>
          <w:p/>
        </w:tc>
      </w:tr>
    </w:tbl>
    <w:p>
      <w:pPr>
        <w:pStyle w:val="Heading1"/>
      </w:pPr>
      <w:r>
        <w:t>Projectoverzicht</w:t>
      </w:r>
    </w:p>
    <w:p>
      <w:pPr>
        <w:pStyle w:val="Heading2"/>
      </w:pPr>
      <w:r>
        <w:t>Project — niet-beschikbaarheid — A — project, 235 PM passief</w:t>
      </w:r>
    </w:p>
    <w:p>
      <w:r>
        <w:drawing>
          <wp:inline xmlns:a="http://schemas.openxmlformats.org/drawingml/2006/main" xmlns:pic="http://schemas.openxmlformats.org/drawingml/2006/picture">
            <wp:extent cx="5486400" cy="2057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057400"/>
                    </a:xfrm>
                    <a:prstGeom prst="rect"/>
                  </pic:spPr>
                </pic:pic>
              </a:graphicData>
            </a:graphic>
          </wp:inline>
        </w:drawing>
      </w:r>
    </w:p>
    <w:p>
      <w:r>
        <w:t>Jaarverdeling uit het motor-horizonprofiel (correctieve downtime + verborgen niet-beschikbaarheid). Lifecycle-totalen reconciliëren met de motor.</w:t>
      </w:r>
    </w:p>
    <w:p>
      <w:pPr>
        <w:pStyle w:val="Heading2"/>
      </w:pPr>
      <w:r>
        <w:t>Project — lifecycle kosten — A — project, 235 PM passief</w:t>
      </w:r>
    </w:p>
    <w:p>
      <w:r>
        <w:drawing>
          <wp:inline xmlns:a="http://schemas.openxmlformats.org/drawingml/2006/main" xmlns:pic="http://schemas.openxmlformats.org/drawingml/2006/picture">
            <wp:extent cx="5486400" cy="2057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057400"/>
                    </a:xfrm>
                    <a:prstGeom prst="rect"/>
                  </pic:spPr>
                </pic:pic>
              </a:graphicData>
            </a:graphic>
          </wp:inline>
        </w:drawing>
      </w:r>
    </w:p>
    <w:p>
      <w:r>
        <w:t>A — project, 235 PM passief</w:t>
      </w:r>
    </w:p>
    <w:p>
      <w:pPr>
        <w:pStyle w:val="Heading2"/>
      </w:pPr>
      <w:r>
        <w:t>Project — niet-beschikbaarheid — B — project, 235 PM passief</w:t>
      </w:r>
    </w:p>
    <w:p>
      <w:r>
        <w:drawing>
          <wp:inline xmlns:a="http://schemas.openxmlformats.org/drawingml/2006/main" xmlns:pic="http://schemas.openxmlformats.org/drawingml/2006/picture">
            <wp:extent cx="5486400" cy="20574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057400"/>
                    </a:xfrm>
                    <a:prstGeom prst="rect"/>
                  </pic:spPr>
                </pic:pic>
              </a:graphicData>
            </a:graphic>
          </wp:inline>
        </w:drawing>
      </w:r>
    </w:p>
    <w:p>
      <w:r>
        <w:t>Jaarverdeling uit het motor-horizonprofiel (correctieve downtime + verborgen niet-beschikbaarheid). Lifecycle-totalen reconciliëren met de motor.</w:t>
      </w:r>
    </w:p>
    <w:p>
      <w:pPr>
        <w:pStyle w:val="Heading2"/>
      </w:pPr>
      <w:r>
        <w:t>Project — lifecycle kosten — B — project, 235 PM passief</w:t>
      </w:r>
    </w:p>
    <w:p>
      <w:r>
        <w:drawing>
          <wp:inline xmlns:a="http://schemas.openxmlformats.org/drawingml/2006/main" xmlns:pic="http://schemas.openxmlformats.org/drawingml/2006/picture">
            <wp:extent cx="5486400" cy="20574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057400"/>
                    </a:xfrm>
                    <a:prstGeom prst="rect"/>
                  </pic:spPr>
                </pic:pic>
              </a:graphicData>
            </a:graphic>
          </wp:inline>
        </w:drawing>
      </w:r>
    </w:p>
    <w:p>
      <w:r>
        <w:t>B — project, 235 PM passief</w:t>
      </w:r>
    </w:p>
    <w:p>
      <w:pPr>
        <w:pStyle w:val="Heading1"/>
      </w:pPr>
      <w:r>
        <w:t>Niet-beschikbaarheid: Aandrijven schutdeuren — effectklassen: Route wegverkeer is geblokkeerd, Route wegverkeer is vertraagd, Sluiskolk beperkt functieverlies of Brug over benedenhoofd snelheidverlies, Sluiskolk volledig gestremd of Brug over benedenhoofd defect in gesloten positie, n.v.t. bij Gaarkeuken, n.v.t. bij Gaarkeuken, n.v.t. bij Gaarkeuken, n.v.t. bij Gaarkeuken, n.v.t. bij Gaarkeuken</w:t>
      </w:r>
    </w:p>
    <w:p>
      <w:r>
        <w:t>Functie-aandeel t.o.v. project (nb): 42.16% (projecttotaal-context: 42.16%).</w:t>
      </w:r>
    </w:p>
    <w:p>
      <w:r>
        <w:t>Gekoppelde effectklassen: Route wegverkeer is geblokkeerd, Route wegverkeer is vertraagd, Sluiskolk beperkt functieverlies of Brug over benedenhoofd snelheidverlies, Sluiskolk volledig gestremd of Brug over benedenhoofd defect in gesloten positie, n.v.t. bij Gaarkeuken, n.v.t. bij Gaarkeuken, n.v.t. bij Gaarkeuken, n.v.t. bij Gaarkeuken, n.v.t. bij Gaarkeuken.</w:t>
      </w:r>
    </w:p>
    <w:p>
      <w:pPr>
        <w:pStyle w:val="Heading2"/>
      </w:pPr>
      <w:r>
        <w:t>Top 10 — A — project, 235 PM passief</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Waarde</w:t>
            </w:r>
          </w:p>
        </w:tc>
        <w:tc>
          <w:tcPr>
            <w:tcW w:type="dxa" w:w="2880"/>
          </w:tcPr>
          <w:p>
            <w:r>
              <w:t>Aandeel %</w:t>
            </w:r>
          </w:p>
        </w:tc>
      </w:tr>
      <w:tr>
        <w:tc>
          <w:tcPr>
            <w:tcW w:type="dxa" w:w="2880"/>
          </w:tcPr>
          <w:p>
            <w:r>
              <w:t>Bebording en bewegwijzering (statisch)_111_Bebording en bewegwijzering (statisch)_ opgebost gemodelleerd bij OOV — Veroudering bebording/bewegwijzering (statisch); MTTF=25 jr zonder SVO; niet merkbaar falen</w:t>
              <w:br/>
              <w:t>IA = 1980</w:t>
            </w:r>
          </w:p>
        </w:tc>
        <w:tc>
          <w:tcPr>
            <w:tcW w:type="dxa" w:w="2880"/>
          </w:tcPr>
          <w:p>
            <w:r>
              <w:t>138.86</w:t>
            </w:r>
          </w:p>
        </w:tc>
        <w:tc>
          <w:tcPr>
            <w:tcW w:type="dxa" w:w="2880"/>
          </w:tcPr>
          <w:p>
            <w:r>
              <w:t>84.8%</w:t>
            </w:r>
          </w:p>
        </w:tc>
      </w:tr>
      <w:tr>
        <w:tc>
          <w:tcPr>
            <w:tcW w:type="dxa" w:w="2880"/>
          </w:tcPr>
          <w:p>
            <w:r>
              <w:t>Bedieningspaneel_1057_-(n=1) — Veroudering lokale bediening: MTTF = 25 jaar, IA=1997 (dormant failure i.v.m. centrale bediening en visuele bediening),</w:t>
              <w:br/>
              <w:t>IA = 2012</w:t>
            </w:r>
          </w:p>
        </w:tc>
        <w:tc>
          <w:tcPr>
            <w:tcW w:type="dxa" w:w="2880"/>
          </w:tcPr>
          <w:p>
            <w:r>
              <w:t>6.63</w:t>
            </w:r>
          </w:p>
        </w:tc>
        <w:tc>
          <w:tcPr>
            <w:tcW w:type="dxa" w:w="2880"/>
          </w:tcPr>
          <w:p>
            <w:r>
              <w:t>4.0%</w:t>
            </w:r>
          </w:p>
        </w:tc>
      </w:tr>
      <w:tr>
        <w:tc>
          <w:tcPr>
            <w:tcW w:type="dxa" w:w="2880"/>
          </w:tcPr>
          <w:p>
            <w:r>
              <w:t>Hydraulisch aggregaat deurplaatsnrs. 01 en 02, Brugkelder_1260_ — Vervuiling hydraulische olie, MTTF=20 jr met SVO</w:t>
              <w:br/>
              <w:t>IA = 2011</w:t>
            </w:r>
          </w:p>
        </w:tc>
        <w:tc>
          <w:tcPr>
            <w:tcW w:type="dxa" w:w="2880"/>
          </w:tcPr>
          <w:p>
            <w:r>
              <w:t>3.84</w:t>
            </w:r>
          </w:p>
        </w:tc>
        <w:tc>
          <w:tcPr>
            <w:tcW w:type="dxa" w:w="2880"/>
          </w:tcPr>
          <w:p>
            <w:r>
              <w:t>2.3%</w:t>
            </w:r>
          </w:p>
        </w:tc>
      </w:tr>
      <w:tr>
        <w:tc>
          <w:tcPr>
            <w:tcW w:type="dxa" w:w="2880"/>
          </w:tcPr>
          <w:p>
            <w:r>
              <w:t>Aarding- en bliksembeveiligingsinstallatie, Algemeen_1016_- — Mechanisch bezwijken van overspanningsafleiders en kabels t.g.v. veroudering, waardoor E-installatie onvoldoende is beschermd tegen blikseminslag. MTTF=25 jr.</w:t>
              <w:br/>
              <w:t>IA = 1985</w:t>
            </w:r>
          </w:p>
        </w:tc>
        <w:tc>
          <w:tcPr>
            <w:tcW w:type="dxa" w:w="2880"/>
          </w:tcPr>
          <w:p>
            <w:r>
              <w:t>3.06</w:t>
            </w:r>
          </w:p>
        </w:tc>
        <w:tc>
          <w:tcPr>
            <w:tcW w:type="dxa" w:w="2880"/>
          </w:tcPr>
          <w:p>
            <w:r>
              <w:t>1.9%</w:t>
            </w:r>
          </w:p>
        </w:tc>
      </w:tr>
      <w:tr>
        <w:tc>
          <w:tcPr>
            <w:tcW w:type="dxa" w:w="2880"/>
          </w:tcPr>
          <w:p>
            <w:r>
              <w:t>Mast, opgebost (114x)_1358_ — Verouderen mast, MTTF=38 jaar (geen SVO)</w:t>
              <w:br/>
              <w:t>IA = 1980</w:t>
            </w:r>
          </w:p>
        </w:tc>
        <w:tc>
          <w:tcPr>
            <w:tcW w:type="dxa" w:w="2880"/>
          </w:tcPr>
          <w:p>
            <w:r>
              <w:t>2.29</w:t>
            </w:r>
          </w:p>
        </w:tc>
        <w:tc>
          <w:tcPr>
            <w:tcW w:type="dxa" w:w="2880"/>
          </w:tcPr>
          <w:p>
            <w:r>
              <w:t>1.4%</w:t>
            </w:r>
          </w:p>
        </w:tc>
      </w:tr>
      <w:tr>
        <w:tc>
          <w:tcPr>
            <w:tcW w:type="dxa" w:w="2880"/>
          </w:tcPr>
          <w:p>
            <w:r>
              <w:t>Omroepinstallatie, Algemeen_1385_- — Random falen omroepinstallatie; MTTF=1 jr met SVO;merkbaar falen</w:t>
              <w:br/>
              <w:t>IA = 2024</w:t>
            </w:r>
          </w:p>
        </w:tc>
        <w:tc>
          <w:tcPr>
            <w:tcW w:type="dxa" w:w="2880"/>
          </w:tcPr>
          <w:p>
            <w:r>
              <w:t>1.96</w:t>
            </w:r>
          </w:p>
        </w:tc>
        <w:tc>
          <w:tcPr>
            <w:tcW w:type="dxa" w:w="2880"/>
          </w:tcPr>
          <w:p>
            <w:r>
              <w:t>1.2%</w:t>
            </w:r>
          </w:p>
        </w:tc>
      </w:tr>
      <w:tr>
        <w:tc>
          <w:tcPr>
            <w:tcW w:type="dxa" w:w="2880"/>
          </w:tcPr>
          <w:p>
            <w:r>
              <w:t>Meerpaal (21,145)_1361_hout (75-12 = 63 hout) — Veroudering houten wijfgordingen, MTTF=38 jr zonder SVO.</w:t>
              <w:br/>
              <w:t>IA = 1980</w:t>
            </w:r>
          </w:p>
        </w:tc>
        <w:tc>
          <w:tcPr>
            <w:tcW w:type="dxa" w:w="2880"/>
          </w:tcPr>
          <w:p>
            <w:r>
              <w:t>1.27</w:t>
            </w:r>
          </w:p>
        </w:tc>
        <w:tc>
          <w:tcPr>
            <w:tcW w:type="dxa" w:w="2880"/>
          </w:tcPr>
          <w:p>
            <w:r>
              <w:t>0.8%</w:t>
            </w:r>
          </w:p>
        </w:tc>
      </w:tr>
      <w:tr>
        <w:tc>
          <w:tcPr>
            <w:tcW w:type="dxa" w:w="2880"/>
          </w:tcPr>
          <w:p>
            <w:r>
              <w:t>Draaipunt, onderdraaipunt, taatsschoen, deurnr. 01_1164_ — Falen taatskom, MTTF=32 jr met SVO</w:t>
              <w:br/>
              <w:t>IA = 2010</w:t>
            </w:r>
          </w:p>
        </w:tc>
        <w:tc>
          <w:tcPr>
            <w:tcW w:type="dxa" w:w="2880"/>
          </w:tcPr>
          <w:p>
            <w:r>
              <w:t>0.82</w:t>
            </w:r>
          </w:p>
        </w:tc>
        <w:tc>
          <w:tcPr>
            <w:tcW w:type="dxa" w:w="2880"/>
          </w:tcPr>
          <w:p>
            <w:r>
              <w:t>0.5%</w:t>
            </w:r>
          </w:p>
        </w:tc>
      </w:tr>
      <w:tr>
        <w:tc>
          <w:tcPr>
            <w:tcW w:type="dxa" w:w="2880"/>
          </w:tcPr>
          <w:p>
            <w:r>
              <w:t>Draaipunt, onderdraaipunt, taatsschoen, deurnr. 02_1164_ — Falen taatskom, MTTF=32 jr met SVO</w:t>
              <w:br/>
              <w:t>IA = 2010</w:t>
            </w:r>
          </w:p>
        </w:tc>
        <w:tc>
          <w:tcPr>
            <w:tcW w:type="dxa" w:w="2880"/>
          </w:tcPr>
          <w:p>
            <w:r>
              <w:t>0.82</w:t>
            </w:r>
          </w:p>
        </w:tc>
        <w:tc>
          <w:tcPr>
            <w:tcW w:type="dxa" w:w="2880"/>
          </w:tcPr>
          <w:p>
            <w:r>
              <w:t>0.5%</w:t>
            </w:r>
          </w:p>
        </w:tc>
      </w:tr>
      <w:tr>
        <w:tc>
          <w:tcPr>
            <w:tcW w:type="dxa" w:w="2880"/>
          </w:tcPr>
          <w:p>
            <w:r>
              <w:t>Hydraulisch aggregaat,  Rinket 2_1260_ — Vervuiling hydraulische olie, MTTF=20 jr met SVO</w:t>
              <w:br/>
              <w:t>IA = 2011</w:t>
            </w:r>
          </w:p>
        </w:tc>
        <w:tc>
          <w:tcPr>
            <w:tcW w:type="dxa" w:w="2880"/>
          </w:tcPr>
          <w:p>
            <w:r>
              <w:t>0.56</w:t>
            </w:r>
          </w:p>
        </w:tc>
        <w:tc>
          <w:tcPr>
            <w:tcW w:type="dxa" w:w="2880"/>
          </w:tcPr>
          <w:p>
            <w:r>
              <w:t>0.3%</w:t>
            </w:r>
          </w:p>
        </w:tc>
      </w:tr>
    </w:tbl>
    <w:p>
      <w:pPr>
        <w:pStyle w:val="Heading2"/>
      </w:pPr>
      <w:r>
        <w:t>Tijdsplot — A — project, 235 PM passief</w:t>
      </w:r>
    </w:p>
    <w:p>
      <w:r>
        <w:drawing>
          <wp:inline xmlns:a="http://schemas.openxmlformats.org/drawingml/2006/main" xmlns:pic="http://schemas.openxmlformats.org/drawingml/2006/picture">
            <wp:extent cx="5486400" cy="20574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057400"/>
                    </a:xfrm>
                    <a:prstGeom prst="rect"/>
                  </pic:spPr>
                </pic:pic>
              </a:graphicData>
            </a:graphic>
          </wp:inline>
        </w:drawing>
      </w:r>
    </w:p>
    <w:p>
      <w:r>
        <w:t>Jaarverdeling uit het motor-horizonprofiel (correctieve downtime + verborgen niet-beschikbaarheid). Lifecycle-totalen reconciliëren met de motor.</w:t>
      </w:r>
    </w:p>
    <w:p>
      <w:pPr>
        <w:pStyle w:val="Heading2"/>
      </w:pPr>
      <w:r>
        <w:t>Effectimpact — A — project, 235 PM passief</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Effectklasse</w:t>
            </w:r>
          </w:p>
        </w:tc>
        <w:tc>
          <w:tcPr>
            <w:tcW w:type="dxa" w:w="1728"/>
          </w:tcPr>
          <w:p>
            <w:r>
              <w:t>Waarde</w:t>
            </w:r>
          </w:p>
        </w:tc>
        <w:tc>
          <w:tcPr>
            <w:tcW w:type="dxa" w:w="1728"/>
          </w:tcPr>
          <w:p>
            <w:r>
              <w:t>Eenheid</w:t>
            </w:r>
          </w:p>
        </w:tc>
        <w:tc>
          <w:tcPr>
            <w:tcW w:type="dxa" w:w="1728"/>
          </w:tcPr>
          <w:p>
            <w:r>
              <w:t>RF</w:t>
            </w:r>
          </w:p>
        </w:tc>
        <w:tc>
          <w:tcPr>
            <w:tcW w:type="dxa" w:w="1728"/>
          </w:tcPr>
          <w:p>
            <w:r>
              <w:t>Aandeel %</w:t>
            </w:r>
          </w:p>
        </w:tc>
      </w:tr>
      <w:tr>
        <w:tc>
          <w:tcPr>
            <w:tcW w:type="dxa" w:w="1728"/>
          </w:tcPr>
          <w:p>
            <w:r>
              <w:t>Route wegverkeer is vertraagd</w:t>
            </w:r>
          </w:p>
        </w:tc>
        <w:tc>
          <w:tcPr>
            <w:tcW w:type="dxa" w:w="1728"/>
          </w:tcPr>
          <w:p>
            <w:r>
              <w:t>609415.93</w:t>
            </w:r>
          </w:p>
        </w:tc>
        <w:tc>
          <w:tcPr>
            <w:tcW w:type="dxa" w:w="1728"/>
          </w:tcPr>
          <w:p>
            <w:r>
              <w:t>uren</w:t>
            </w:r>
          </w:p>
        </w:tc>
        <w:tc>
          <w:tcPr>
            <w:tcW w:type="dxa" w:w="1728"/>
          </w:tcPr>
          <w:p>
            <w:r>
              <w:t>0,01 / 0,1 / 0,5 / 1</w:t>
            </w:r>
          </w:p>
        </w:tc>
        <w:tc>
          <w:tcPr>
            <w:tcW w:type="dxa" w:w="1728"/>
          </w:tcPr>
          <w:p>
            <w:r>
              <w:t>90.8%</w:t>
            </w:r>
          </w:p>
        </w:tc>
      </w:tr>
      <w:tr>
        <w:tc>
          <w:tcPr>
            <w:tcW w:type="dxa" w:w="1728"/>
          </w:tcPr>
          <w:p>
            <w:r>
              <w:t>Sluiskolk volledig gestremd of Brug over benedenhoofd defect in gesloten positie</w:t>
            </w:r>
          </w:p>
        </w:tc>
        <w:tc>
          <w:tcPr>
            <w:tcW w:type="dxa" w:w="1728"/>
          </w:tcPr>
          <w:p>
            <w:r>
              <w:t>30756.11</w:t>
            </w:r>
          </w:p>
        </w:tc>
        <w:tc>
          <w:tcPr>
            <w:tcW w:type="dxa" w:w="1728"/>
          </w:tcPr>
          <w:p>
            <w:r>
              <w:t>uren</w:t>
            </w:r>
          </w:p>
        </w:tc>
        <w:tc>
          <w:tcPr>
            <w:tcW w:type="dxa" w:w="1728"/>
          </w:tcPr>
          <w:p>
            <w:r>
              <w:t>0 / 1e-06 / 0,0001 / 0,001 / 0,01 / 0,02283 / 0,1 / 0,25 / 0,5 / 1</w:t>
            </w:r>
          </w:p>
        </w:tc>
        <w:tc>
          <w:tcPr>
            <w:tcW w:type="dxa" w:w="1728"/>
          </w:tcPr>
          <w:p>
            <w:r>
              <w:t>4.6%</w:t>
            </w:r>
          </w:p>
        </w:tc>
      </w:tr>
      <w:tr>
        <w:tc>
          <w:tcPr>
            <w:tcW w:type="dxa" w:w="1728"/>
          </w:tcPr>
          <w:p>
            <w:r>
              <w:t>Sluiskolk beperkt functieverlies of Brug over benedenhoofd snelheidverlies</w:t>
            </w:r>
          </w:p>
        </w:tc>
        <w:tc>
          <w:tcPr>
            <w:tcW w:type="dxa" w:w="1728"/>
          </w:tcPr>
          <w:p>
            <w:r>
              <w:t>24765.79</w:t>
            </w:r>
          </w:p>
        </w:tc>
        <w:tc>
          <w:tcPr>
            <w:tcW w:type="dxa" w:w="1728"/>
          </w:tcPr>
          <w:p>
            <w:r>
              <w:t>uren</w:t>
            </w:r>
          </w:p>
        </w:tc>
        <w:tc>
          <w:tcPr>
            <w:tcW w:type="dxa" w:w="1728"/>
          </w:tcPr>
          <w:p>
            <w:r>
              <w:t>0,01 / 0,02 / 0,1 / 0,5 / 0,9 / 1</w:t>
            </w:r>
          </w:p>
        </w:tc>
        <w:tc>
          <w:tcPr>
            <w:tcW w:type="dxa" w:w="1728"/>
          </w:tcPr>
          <w:p>
            <w:r>
              <w:t>3.7%</w:t>
            </w:r>
          </w:p>
        </w:tc>
      </w:tr>
      <w:tr>
        <w:tc>
          <w:tcPr>
            <w:tcW w:type="dxa" w:w="1728"/>
          </w:tcPr>
          <w:p>
            <w:r>
              <w:t>Route wegverkeer is geblokkeerd</w:t>
            </w:r>
          </w:p>
        </w:tc>
        <w:tc>
          <w:tcPr>
            <w:tcW w:type="dxa" w:w="1728"/>
          </w:tcPr>
          <w:p>
            <w:r>
              <w:t>5775.31</w:t>
            </w:r>
          </w:p>
        </w:tc>
        <w:tc>
          <w:tcPr>
            <w:tcW w:type="dxa" w:w="1728"/>
          </w:tcPr>
          <w:p>
            <w:r>
              <w:t>uren</w:t>
            </w:r>
          </w:p>
        </w:tc>
        <w:tc>
          <w:tcPr>
            <w:tcW w:type="dxa" w:w="1728"/>
          </w:tcPr>
          <w:p>
            <w:r>
              <w:t>0,0025 / 0,01 / 0,02283 / 0,25 / 0,5 / 1</w:t>
            </w:r>
          </w:p>
        </w:tc>
        <w:tc>
          <w:tcPr>
            <w:tcW w:type="dxa" w:w="1728"/>
          </w:tcPr>
          <w:p>
            <w:r>
              <w:t>0.9%</w:t>
            </w:r>
          </w:p>
        </w:tc>
      </w:tr>
      <w:tr>
        <w:tc>
          <w:tcPr>
            <w:tcW w:type="dxa" w:w="1728"/>
          </w:tcPr>
          <w:p>
            <w:r>
              <w:t>VG niet gedefinieerd | Lozing giftige stoffen</w:t>
            </w:r>
          </w:p>
        </w:tc>
        <w:tc>
          <w:tcPr>
            <w:tcW w:type="dxa" w:w="1728"/>
          </w:tcPr>
          <w:p>
            <w:r>
              <w:t>494.30</w:t>
            </w:r>
          </w:p>
        </w:tc>
        <w:tc>
          <w:tcPr>
            <w:tcW w:type="dxa" w:w="1728"/>
          </w:tcPr>
          <w:p>
            <w:r>
              <w:t>incidenten</w:t>
            </w:r>
          </w:p>
        </w:tc>
        <w:tc>
          <w:tcPr>
            <w:tcW w:type="dxa" w:w="1728"/>
          </w:tcPr>
          <w:p>
            <w:r>
              <w:t>0,01 / 0,9</w:t>
            </w:r>
          </w:p>
        </w:tc>
        <w:tc>
          <w:tcPr>
            <w:tcW w:type="dxa" w:w="1728"/>
          </w:tcPr>
          <w:p>
            <w:r>
              <w:t>0.1%</w:t>
            </w:r>
          </w:p>
        </w:tc>
      </w:tr>
      <w:tr>
        <w:tc>
          <w:tcPr>
            <w:tcW w:type="dxa" w:w="1728"/>
          </w:tcPr>
          <w:p>
            <w:r>
              <w:t>Dood van een of meerdere personen | Lozing giftige stoffen met impact op omgeving.</w:t>
            </w:r>
          </w:p>
        </w:tc>
        <w:tc>
          <w:tcPr>
            <w:tcW w:type="dxa" w:w="1728"/>
          </w:tcPr>
          <w:p>
            <w:r>
              <w:t>95.60</w:t>
            </w:r>
          </w:p>
        </w:tc>
        <w:tc>
          <w:tcPr>
            <w:tcW w:type="dxa" w:w="1728"/>
          </w:tcPr>
          <w:p>
            <w:r>
              <w:t>incidenten</w:t>
            </w:r>
          </w:p>
        </w:tc>
        <w:tc>
          <w:tcPr>
            <w:tcW w:type="dxa" w:w="1728"/>
          </w:tcPr>
          <w:p>
            <w:r>
              <w:t>1e-06 / 0,0001 / 0,001 / 0,0025 / 0,01 / 0,05 / 0,1 / 0,2</w:t>
            </w:r>
          </w:p>
        </w:tc>
        <w:tc>
          <w:tcPr>
            <w:tcW w:type="dxa" w:w="1728"/>
          </w:tcPr>
          <w:p>
            <w:r>
              <w:t>0.0%</w:t>
            </w:r>
          </w:p>
        </w:tc>
      </w:tr>
      <w:tr>
        <w:tc>
          <w:tcPr>
            <w:tcW w:type="dxa" w:w="1728"/>
          </w:tcPr>
          <w:p>
            <w:r>
              <w:t>VG niet gedefinieerd | Lozing beperkte hoeveelheid stoffen</w:t>
            </w:r>
          </w:p>
        </w:tc>
        <w:tc>
          <w:tcPr>
            <w:tcW w:type="dxa" w:w="1728"/>
          </w:tcPr>
          <w:p>
            <w:r>
              <w:t>89.90</w:t>
            </w:r>
          </w:p>
        </w:tc>
        <w:tc>
          <w:tcPr>
            <w:tcW w:type="dxa" w:w="1728"/>
          </w:tcPr>
          <w:p>
            <w:r>
              <w:t>incidenten</w:t>
            </w:r>
          </w:p>
        </w:tc>
        <w:tc>
          <w:tcPr>
            <w:tcW w:type="dxa" w:w="1728"/>
          </w:tcPr>
          <w:p>
            <w:r>
              <w:t>0,9</w:t>
            </w:r>
          </w:p>
        </w:tc>
        <w:tc>
          <w:tcPr>
            <w:tcW w:type="dxa" w:w="1728"/>
          </w:tcPr>
          <w:p>
            <w:r>
              <w:t>0.0%</w:t>
            </w:r>
          </w:p>
        </w:tc>
      </w:tr>
      <w:tr>
        <w:tc>
          <w:tcPr>
            <w:tcW w:type="dxa" w:w="1728"/>
          </w:tcPr>
          <w:p>
            <w:r>
              <w:t>Lichte verwonding of schade aan de gezondheid (omkeerbaar) | Hinder voor omgeving (vogels, …)</w:t>
            </w:r>
          </w:p>
        </w:tc>
        <w:tc>
          <w:tcPr>
            <w:tcW w:type="dxa" w:w="1728"/>
          </w:tcPr>
          <w:p>
            <w:r>
              <w:t>35.78</w:t>
            </w:r>
          </w:p>
        </w:tc>
        <w:tc>
          <w:tcPr>
            <w:tcW w:type="dxa" w:w="1728"/>
          </w:tcPr>
          <w:p>
            <w:r>
              <w:t>incidenten</w:t>
            </w:r>
          </w:p>
        </w:tc>
        <w:tc>
          <w:tcPr>
            <w:tcW w:type="dxa" w:w="1728"/>
          </w:tcPr>
          <w:p>
            <w:r>
              <w:t>0,01 / 0,02 / 0,1</w:t>
            </w:r>
          </w:p>
        </w:tc>
        <w:tc>
          <w:tcPr>
            <w:tcW w:type="dxa" w:w="1728"/>
          </w:tcPr>
          <w:p>
            <w:r>
              <w:t>0.0%</w:t>
            </w:r>
          </w:p>
        </w:tc>
      </w:tr>
      <w:tr>
        <w:tc>
          <w:tcPr>
            <w:tcW w:type="dxa" w:w="1728"/>
          </w:tcPr>
          <w:p>
            <w:r>
              <w:t>Zware verwonding of schade aan de gezondheid (verzuim of onomkeerbaar) | Lozing grote hoeveelheid stoffen.</w:t>
            </w:r>
          </w:p>
        </w:tc>
        <w:tc>
          <w:tcPr>
            <w:tcW w:type="dxa" w:w="1728"/>
          </w:tcPr>
          <w:p>
            <w:r>
              <w:t>30.39</w:t>
            </w:r>
          </w:p>
        </w:tc>
        <w:tc>
          <w:tcPr>
            <w:tcW w:type="dxa" w:w="1728"/>
          </w:tcPr>
          <w:p>
            <w:r>
              <w:t>incidenten</w:t>
            </w:r>
          </w:p>
        </w:tc>
        <w:tc>
          <w:tcPr>
            <w:tcW w:type="dxa" w:w="1728"/>
          </w:tcPr>
          <w:p>
            <w:r>
              <w:t>0,001 / 0,01 / 0,1 / 1</w:t>
            </w:r>
          </w:p>
        </w:tc>
        <w:tc>
          <w:tcPr>
            <w:tcW w:type="dxa" w:w="1728"/>
          </w:tcPr>
          <w:p>
            <w:r>
              <w:t>0.0%</w:t>
            </w:r>
          </w:p>
        </w:tc>
      </w:tr>
      <w:tr>
        <w:tc>
          <w:tcPr>
            <w:tcW w:type="dxa" w:w="1728"/>
          </w:tcPr>
          <w:p>
            <w:r>
              <w:t>Catastrofaal | Lozing giftige stoffen met ernstige impact</w:t>
            </w:r>
          </w:p>
        </w:tc>
        <w:tc>
          <w:tcPr>
            <w:tcW w:type="dxa" w:w="1728"/>
          </w:tcPr>
          <w:p>
            <w:r>
              <w:t>2.03</w:t>
            </w:r>
          </w:p>
        </w:tc>
        <w:tc>
          <w:tcPr>
            <w:tcW w:type="dxa" w:w="1728"/>
          </w:tcPr>
          <w:p>
            <w:r>
              <w:t>incidenten</w:t>
            </w:r>
          </w:p>
        </w:tc>
        <w:tc>
          <w:tcPr>
            <w:tcW w:type="dxa" w:w="1728"/>
          </w:tcPr>
          <w:p>
            <w:r>
              <w:t>0,0001 / 0,01</w:t>
            </w:r>
          </w:p>
        </w:tc>
        <w:tc>
          <w:tcPr>
            <w:tcW w:type="dxa" w:w="1728"/>
          </w:tcPr>
          <w:p>
            <w:r>
              <w:t>0.0%</w:t>
            </w:r>
          </w:p>
        </w:tc>
      </w:tr>
    </w:tbl>
    <w:p>
      <w:pPr>
        <w:pStyle w:val="Heading2"/>
      </w:pPr>
      <w:r>
        <w:t>PBS-opbouw — A — project, 235 PM passief</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Waarde</w:t>
            </w:r>
          </w:p>
        </w:tc>
        <w:tc>
          <w:tcPr>
            <w:tcW w:type="dxa" w:w="2880"/>
          </w:tcPr>
          <w:p>
            <w:r>
              <w:t>Aandeel %</w:t>
            </w:r>
          </w:p>
        </w:tc>
      </w:tr>
      <w:tr>
        <w:tc>
          <w:tcPr>
            <w:tcW w:type="dxa" w:w="2880"/>
          </w:tcPr>
          <w:p>
            <w:r>
              <w:t>Buisleiding, rubber_1331_</w:t>
            </w:r>
          </w:p>
        </w:tc>
        <w:tc>
          <w:tcPr>
            <w:tcW w:type="dxa" w:w="2880"/>
          </w:tcPr>
          <w:p>
            <w:r>
              <w:t>0.27</w:t>
            </w:r>
          </w:p>
        </w:tc>
        <w:tc>
          <w:tcPr>
            <w:tcW w:type="dxa" w:w="2880"/>
          </w:tcPr>
          <w:p>
            <w:r>
              <w:t>100.0%</w:t>
            </w:r>
          </w:p>
        </w:tc>
      </w:tr>
    </w:tbl>
    <w:p>
      <w:pPr>
        <w:pStyle w:val="Heading2"/>
      </w:pPr>
      <w:r>
        <w:t>Top 10 — B — project, 235 PM passief</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Waarde</w:t>
            </w:r>
          </w:p>
        </w:tc>
        <w:tc>
          <w:tcPr>
            <w:tcW w:type="dxa" w:w="2880"/>
          </w:tcPr>
          <w:p>
            <w:r>
              <w:t>Aandeel %</w:t>
            </w:r>
          </w:p>
        </w:tc>
      </w:tr>
      <w:tr>
        <w:tc>
          <w:tcPr>
            <w:tcW w:type="dxa" w:w="2880"/>
          </w:tcPr>
          <w:p>
            <w:r>
              <w:t>Bebording en bewegwijzering (statisch)_111_Bebording en bewegwijzering (statisch)_ opgebost gemodelleerd bij OOV — Veroudering bebording/bewegwijzering (statisch); MTTF=25 jr zonder SVO; niet merkbaar falen</w:t>
              <w:br/>
              <w:t>IA = 1980</w:t>
            </w:r>
          </w:p>
        </w:tc>
        <w:tc>
          <w:tcPr>
            <w:tcW w:type="dxa" w:w="2880"/>
          </w:tcPr>
          <w:p>
            <w:r>
              <w:t>138.86</w:t>
            </w:r>
          </w:p>
        </w:tc>
        <w:tc>
          <w:tcPr>
            <w:tcW w:type="dxa" w:w="2880"/>
          </w:tcPr>
          <w:p>
            <w:r>
              <w:t>84.8%</w:t>
            </w:r>
          </w:p>
        </w:tc>
      </w:tr>
      <w:tr>
        <w:tc>
          <w:tcPr>
            <w:tcW w:type="dxa" w:w="2880"/>
          </w:tcPr>
          <w:p>
            <w:r>
              <w:t>Bedieningspaneel_1057_-(n=1) — Veroudering lokale bediening: MTTF = 25 jaar, IA=1997 (dormant failure i.v.m. centrale bediening en visuele bediening),</w:t>
              <w:br/>
              <w:t>IA = 2012</w:t>
            </w:r>
          </w:p>
        </w:tc>
        <w:tc>
          <w:tcPr>
            <w:tcW w:type="dxa" w:w="2880"/>
          </w:tcPr>
          <w:p>
            <w:r>
              <w:t>6.63</w:t>
            </w:r>
          </w:p>
        </w:tc>
        <w:tc>
          <w:tcPr>
            <w:tcW w:type="dxa" w:w="2880"/>
          </w:tcPr>
          <w:p>
            <w:r>
              <w:t>4.0%</w:t>
            </w:r>
          </w:p>
        </w:tc>
      </w:tr>
      <w:tr>
        <w:tc>
          <w:tcPr>
            <w:tcW w:type="dxa" w:w="2880"/>
          </w:tcPr>
          <w:p>
            <w:r>
              <w:t>Hydraulisch aggregaat deurplaatsnrs. 01 en 02, Brugkelder_1260_ — Vervuiling hydraulische olie, MTTF=20 jr met SVO</w:t>
              <w:br/>
              <w:t>IA = 2011</w:t>
            </w:r>
          </w:p>
        </w:tc>
        <w:tc>
          <w:tcPr>
            <w:tcW w:type="dxa" w:w="2880"/>
          </w:tcPr>
          <w:p>
            <w:r>
              <w:t>3.84</w:t>
            </w:r>
          </w:p>
        </w:tc>
        <w:tc>
          <w:tcPr>
            <w:tcW w:type="dxa" w:w="2880"/>
          </w:tcPr>
          <w:p>
            <w:r>
              <w:t>2.3%</w:t>
            </w:r>
          </w:p>
        </w:tc>
      </w:tr>
      <w:tr>
        <w:tc>
          <w:tcPr>
            <w:tcW w:type="dxa" w:w="2880"/>
          </w:tcPr>
          <w:p>
            <w:r>
              <w:t>Aarding- en bliksembeveiligingsinstallatie, Algemeen_1016_- — Mechanisch bezwijken van overspanningsafleiders en kabels t.g.v. veroudering, waardoor E-installatie onvoldoende is beschermd tegen blikseminslag. MTTF=25 jr.</w:t>
              <w:br/>
              <w:t>IA = 1985</w:t>
            </w:r>
          </w:p>
        </w:tc>
        <w:tc>
          <w:tcPr>
            <w:tcW w:type="dxa" w:w="2880"/>
          </w:tcPr>
          <w:p>
            <w:r>
              <w:t>3.06</w:t>
            </w:r>
          </w:p>
        </w:tc>
        <w:tc>
          <w:tcPr>
            <w:tcW w:type="dxa" w:w="2880"/>
          </w:tcPr>
          <w:p>
            <w:r>
              <w:t>1.9%</w:t>
            </w:r>
          </w:p>
        </w:tc>
      </w:tr>
      <w:tr>
        <w:tc>
          <w:tcPr>
            <w:tcW w:type="dxa" w:w="2880"/>
          </w:tcPr>
          <w:p>
            <w:r>
              <w:t>Mast, opgebost (114x)_1358_ — Verouderen mast, MTTF=38 jaar (geen SVO)</w:t>
              <w:br/>
              <w:t>IA = 1980</w:t>
            </w:r>
          </w:p>
        </w:tc>
        <w:tc>
          <w:tcPr>
            <w:tcW w:type="dxa" w:w="2880"/>
          </w:tcPr>
          <w:p>
            <w:r>
              <w:t>2.29</w:t>
            </w:r>
          </w:p>
        </w:tc>
        <w:tc>
          <w:tcPr>
            <w:tcW w:type="dxa" w:w="2880"/>
          </w:tcPr>
          <w:p>
            <w:r>
              <w:t>1.4%</w:t>
            </w:r>
          </w:p>
        </w:tc>
      </w:tr>
      <w:tr>
        <w:tc>
          <w:tcPr>
            <w:tcW w:type="dxa" w:w="2880"/>
          </w:tcPr>
          <w:p>
            <w:r>
              <w:t>Omroepinstallatie, Algemeen_1385_- — Random falen omroepinstallatie; MTTF=1 jr met SVO;merkbaar falen</w:t>
              <w:br/>
              <w:t>IA = 2024</w:t>
            </w:r>
          </w:p>
        </w:tc>
        <w:tc>
          <w:tcPr>
            <w:tcW w:type="dxa" w:w="2880"/>
          </w:tcPr>
          <w:p>
            <w:r>
              <w:t>1.96</w:t>
            </w:r>
          </w:p>
        </w:tc>
        <w:tc>
          <w:tcPr>
            <w:tcW w:type="dxa" w:w="2880"/>
          </w:tcPr>
          <w:p>
            <w:r>
              <w:t>1.2%</w:t>
            </w:r>
          </w:p>
        </w:tc>
      </w:tr>
      <w:tr>
        <w:tc>
          <w:tcPr>
            <w:tcW w:type="dxa" w:w="2880"/>
          </w:tcPr>
          <w:p>
            <w:r>
              <w:t>Meerpaal (21,145)_1361_hout (75-12 = 63 hout) — Veroudering houten wijfgordingen, MTTF=38 jr zonder SVO.</w:t>
              <w:br/>
              <w:t>IA = 1980</w:t>
            </w:r>
          </w:p>
        </w:tc>
        <w:tc>
          <w:tcPr>
            <w:tcW w:type="dxa" w:w="2880"/>
          </w:tcPr>
          <w:p>
            <w:r>
              <w:t>1.27</w:t>
            </w:r>
          </w:p>
        </w:tc>
        <w:tc>
          <w:tcPr>
            <w:tcW w:type="dxa" w:w="2880"/>
          </w:tcPr>
          <w:p>
            <w:r>
              <w:t>0.8%</w:t>
            </w:r>
          </w:p>
        </w:tc>
      </w:tr>
      <w:tr>
        <w:tc>
          <w:tcPr>
            <w:tcW w:type="dxa" w:w="2880"/>
          </w:tcPr>
          <w:p>
            <w:r>
              <w:t>Draaipunt, onderdraaipunt, taatsschoen, deurnr. 01_1164_ — Falen taatskom, MTTF=32 jr met SVO</w:t>
              <w:br/>
              <w:t>IA = 2010</w:t>
            </w:r>
          </w:p>
        </w:tc>
        <w:tc>
          <w:tcPr>
            <w:tcW w:type="dxa" w:w="2880"/>
          </w:tcPr>
          <w:p>
            <w:r>
              <w:t>0.82</w:t>
            </w:r>
          </w:p>
        </w:tc>
        <w:tc>
          <w:tcPr>
            <w:tcW w:type="dxa" w:w="2880"/>
          </w:tcPr>
          <w:p>
            <w:r>
              <w:t>0.5%</w:t>
            </w:r>
          </w:p>
        </w:tc>
      </w:tr>
      <w:tr>
        <w:tc>
          <w:tcPr>
            <w:tcW w:type="dxa" w:w="2880"/>
          </w:tcPr>
          <w:p>
            <w:r>
              <w:t>Draaipunt, onderdraaipunt, taatsschoen, deurnr. 02_1164_ — Falen taatskom, MTTF=32 jr met SVO</w:t>
              <w:br/>
              <w:t>IA = 2010</w:t>
            </w:r>
          </w:p>
        </w:tc>
        <w:tc>
          <w:tcPr>
            <w:tcW w:type="dxa" w:w="2880"/>
          </w:tcPr>
          <w:p>
            <w:r>
              <w:t>0.82</w:t>
            </w:r>
          </w:p>
        </w:tc>
        <w:tc>
          <w:tcPr>
            <w:tcW w:type="dxa" w:w="2880"/>
          </w:tcPr>
          <w:p>
            <w:r>
              <w:t>0.5%</w:t>
            </w:r>
          </w:p>
        </w:tc>
      </w:tr>
      <w:tr>
        <w:tc>
          <w:tcPr>
            <w:tcW w:type="dxa" w:w="2880"/>
          </w:tcPr>
          <w:p>
            <w:r>
              <w:t>Hydraulisch aggregaat,  Rinket 2_1260_ — Vervuiling hydraulische olie, MTTF=20 jr met SVO</w:t>
              <w:br/>
              <w:t>IA = 2011</w:t>
            </w:r>
          </w:p>
        </w:tc>
        <w:tc>
          <w:tcPr>
            <w:tcW w:type="dxa" w:w="2880"/>
          </w:tcPr>
          <w:p>
            <w:r>
              <w:t>0.56</w:t>
            </w:r>
          </w:p>
        </w:tc>
        <w:tc>
          <w:tcPr>
            <w:tcW w:type="dxa" w:w="2880"/>
          </w:tcPr>
          <w:p>
            <w:r>
              <w:t>0.3%</w:t>
            </w:r>
          </w:p>
        </w:tc>
      </w:tr>
    </w:tbl>
    <w:p>
      <w:pPr>
        <w:pStyle w:val="Heading2"/>
      </w:pPr>
      <w:r>
        <w:t>Tijdsplot — B — project, 235 PM passief</w:t>
      </w:r>
    </w:p>
    <w:p>
      <w:r>
        <w:drawing>
          <wp:inline xmlns:a="http://schemas.openxmlformats.org/drawingml/2006/main" xmlns:pic="http://schemas.openxmlformats.org/drawingml/2006/picture">
            <wp:extent cx="5486400" cy="205740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057400"/>
                    </a:xfrm>
                    <a:prstGeom prst="rect"/>
                  </pic:spPr>
                </pic:pic>
              </a:graphicData>
            </a:graphic>
          </wp:inline>
        </w:drawing>
      </w:r>
    </w:p>
    <w:p>
      <w:r>
        <w:t>Jaarverdeling uit het motor-horizonprofiel (correctieve downtime + verborgen niet-beschikbaarheid). Lifecycle-totalen reconciliëren met de motor.</w:t>
      </w:r>
    </w:p>
    <w:p>
      <w:pPr>
        <w:pStyle w:val="Heading2"/>
      </w:pPr>
      <w:r>
        <w:t>Effectimpact — B — project, 235 PM passief</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Effectklasse</w:t>
            </w:r>
          </w:p>
        </w:tc>
        <w:tc>
          <w:tcPr>
            <w:tcW w:type="dxa" w:w="1728"/>
          </w:tcPr>
          <w:p>
            <w:r>
              <w:t>Waarde</w:t>
            </w:r>
          </w:p>
        </w:tc>
        <w:tc>
          <w:tcPr>
            <w:tcW w:type="dxa" w:w="1728"/>
          </w:tcPr>
          <w:p>
            <w:r>
              <w:t>Eenheid</w:t>
            </w:r>
          </w:p>
        </w:tc>
        <w:tc>
          <w:tcPr>
            <w:tcW w:type="dxa" w:w="1728"/>
          </w:tcPr>
          <w:p>
            <w:r>
              <w:t>RF</w:t>
            </w:r>
          </w:p>
        </w:tc>
        <w:tc>
          <w:tcPr>
            <w:tcW w:type="dxa" w:w="1728"/>
          </w:tcPr>
          <w:p>
            <w:r>
              <w:t>Aandeel %</w:t>
            </w:r>
          </w:p>
        </w:tc>
      </w:tr>
      <w:tr>
        <w:tc>
          <w:tcPr>
            <w:tcW w:type="dxa" w:w="1728"/>
          </w:tcPr>
          <w:p>
            <w:r>
              <w:t>Route wegverkeer is vertraagd</w:t>
            </w:r>
          </w:p>
        </w:tc>
        <w:tc>
          <w:tcPr>
            <w:tcW w:type="dxa" w:w="1728"/>
          </w:tcPr>
          <w:p>
            <w:r>
              <w:t>609415.93</w:t>
            </w:r>
          </w:p>
        </w:tc>
        <w:tc>
          <w:tcPr>
            <w:tcW w:type="dxa" w:w="1728"/>
          </w:tcPr>
          <w:p>
            <w:r>
              <w:t>uren</w:t>
            </w:r>
          </w:p>
        </w:tc>
        <w:tc>
          <w:tcPr>
            <w:tcW w:type="dxa" w:w="1728"/>
          </w:tcPr>
          <w:p>
            <w:r>
              <w:t>0,01 / 0,1 / 0,5 / 1</w:t>
            </w:r>
          </w:p>
        </w:tc>
        <w:tc>
          <w:tcPr>
            <w:tcW w:type="dxa" w:w="1728"/>
          </w:tcPr>
          <w:p>
            <w:r>
              <w:t>90.8%</w:t>
            </w:r>
          </w:p>
        </w:tc>
      </w:tr>
      <w:tr>
        <w:tc>
          <w:tcPr>
            <w:tcW w:type="dxa" w:w="1728"/>
          </w:tcPr>
          <w:p>
            <w:r>
              <w:t>Sluiskolk volledig gestremd of Brug over benedenhoofd defect in gesloten positie</w:t>
            </w:r>
          </w:p>
        </w:tc>
        <w:tc>
          <w:tcPr>
            <w:tcW w:type="dxa" w:w="1728"/>
          </w:tcPr>
          <w:p>
            <w:r>
              <w:t>30756.11</w:t>
            </w:r>
          </w:p>
        </w:tc>
        <w:tc>
          <w:tcPr>
            <w:tcW w:type="dxa" w:w="1728"/>
          </w:tcPr>
          <w:p>
            <w:r>
              <w:t>uren</w:t>
            </w:r>
          </w:p>
        </w:tc>
        <w:tc>
          <w:tcPr>
            <w:tcW w:type="dxa" w:w="1728"/>
          </w:tcPr>
          <w:p>
            <w:r>
              <w:t>0 / 1e-06 / 0,0001 / 0,001 / 0,01 / 0,02283 / 0,1 / 0,25 / 0,5 / 1</w:t>
            </w:r>
          </w:p>
        </w:tc>
        <w:tc>
          <w:tcPr>
            <w:tcW w:type="dxa" w:w="1728"/>
          </w:tcPr>
          <w:p>
            <w:r>
              <w:t>4.6%</w:t>
            </w:r>
          </w:p>
        </w:tc>
      </w:tr>
      <w:tr>
        <w:tc>
          <w:tcPr>
            <w:tcW w:type="dxa" w:w="1728"/>
          </w:tcPr>
          <w:p>
            <w:r>
              <w:t>Sluiskolk beperkt functieverlies of Brug over benedenhoofd snelheidverlies</w:t>
            </w:r>
          </w:p>
        </w:tc>
        <w:tc>
          <w:tcPr>
            <w:tcW w:type="dxa" w:w="1728"/>
          </w:tcPr>
          <w:p>
            <w:r>
              <w:t>24765.79</w:t>
            </w:r>
          </w:p>
        </w:tc>
        <w:tc>
          <w:tcPr>
            <w:tcW w:type="dxa" w:w="1728"/>
          </w:tcPr>
          <w:p>
            <w:r>
              <w:t>uren</w:t>
            </w:r>
          </w:p>
        </w:tc>
        <w:tc>
          <w:tcPr>
            <w:tcW w:type="dxa" w:w="1728"/>
          </w:tcPr>
          <w:p>
            <w:r>
              <w:t>0,01 / 0,02 / 0,1 / 0,5 / 0,9 / 1</w:t>
            </w:r>
          </w:p>
        </w:tc>
        <w:tc>
          <w:tcPr>
            <w:tcW w:type="dxa" w:w="1728"/>
          </w:tcPr>
          <w:p>
            <w:r>
              <w:t>3.7%</w:t>
            </w:r>
          </w:p>
        </w:tc>
      </w:tr>
      <w:tr>
        <w:tc>
          <w:tcPr>
            <w:tcW w:type="dxa" w:w="1728"/>
          </w:tcPr>
          <w:p>
            <w:r>
              <w:t>Route wegverkeer is geblokkeerd</w:t>
            </w:r>
          </w:p>
        </w:tc>
        <w:tc>
          <w:tcPr>
            <w:tcW w:type="dxa" w:w="1728"/>
          </w:tcPr>
          <w:p>
            <w:r>
              <w:t>5775.31</w:t>
            </w:r>
          </w:p>
        </w:tc>
        <w:tc>
          <w:tcPr>
            <w:tcW w:type="dxa" w:w="1728"/>
          </w:tcPr>
          <w:p>
            <w:r>
              <w:t>uren</w:t>
            </w:r>
          </w:p>
        </w:tc>
        <w:tc>
          <w:tcPr>
            <w:tcW w:type="dxa" w:w="1728"/>
          </w:tcPr>
          <w:p>
            <w:r>
              <w:t>0,0025 / 0,01 / 0,02283 / 0,25 / 0,5 / 1</w:t>
            </w:r>
          </w:p>
        </w:tc>
        <w:tc>
          <w:tcPr>
            <w:tcW w:type="dxa" w:w="1728"/>
          </w:tcPr>
          <w:p>
            <w:r>
              <w:t>0.9%</w:t>
            </w:r>
          </w:p>
        </w:tc>
      </w:tr>
      <w:tr>
        <w:tc>
          <w:tcPr>
            <w:tcW w:type="dxa" w:w="1728"/>
          </w:tcPr>
          <w:p>
            <w:r>
              <w:t>VG niet gedefinieerd | Lozing giftige stoffen</w:t>
            </w:r>
          </w:p>
        </w:tc>
        <w:tc>
          <w:tcPr>
            <w:tcW w:type="dxa" w:w="1728"/>
          </w:tcPr>
          <w:p>
            <w:r>
              <w:t>494.30</w:t>
            </w:r>
          </w:p>
        </w:tc>
        <w:tc>
          <w:tcPr>
            <w:tcW w:type="dxa" w:w="1728"/>
          </w:tcPr>
          <w:p>
            <w:r>
              <w:t>incidenten</w:t>
            </w:r>
          </w:p>
        </w:tc>
        <w:tc>
          <w:tcPr>
            <w:tcW w:type="dxa" w:w="1728"/>
          </w:tcPr>
          <w:p>
            <w:r>
              <w:t>0,01 / 0,9</w:t>
            </w:r>
          </w:p>
        </w:tc>
        <w:tc>
          <w:tcPr>
            <w:tcW w:type="dxa" w:w="1728"/>
          </w:tcPr>
          <w:p>
            <w:r>
              <w:t>0.1%</w:t>
            </w:r>
          </w:p>
        </w:tc>
      </w:tr>
      <w:tr>
        <w:tc>
          <w:tcPr>
            <w:tcW w:type="dxa" w:w="1728"/>
          </w:tcPr>
          <w:p>
            <w:r>
              <w:t>Dood van een of meerdere personen | Lozing giftige stoffen met impact op omgeving.</w:t>
            </w:r>
          </w:p>
        </w:tc>
        <w:tc>
          <w:tcPr>
            <w:tcW w:type="dxa" w:w="1728"/>
          </w:tcPr>
          <w:p>
            <w:r>
              <w:t>95.60</w:t>
            </w:r>
          </w:p>
        </w:tc>
        <w:tc>
          <w:tcPr>
            <w:tcW w:type="dxa" w:w="1728"/>
          </w:tcPr>
          <w:p>
            <w:r>
              <w:t>incidenten</w:t>
            </w:r>
          </w:p>
        </w:tc>
        <w:tc>
          <w:tcPr>
            <w:tcW w:type="dxa" w:w="1728"/>
          </w:tcPr>
          <w:p>
            <w:r>
              <w:t>1e-06 / 0,0001 / 0,001 / 0,0025 / 0,01 / 0,05 / 0,1 / 0,2</w:t>
            </w:r>
          </w:p>
        </w:tc>
        <w:tc>
          <w:tcPr>
            <w:tcW w:type="dxa" w:w="1728"/>
          </w:tcPr>
          <w:p>
            <w:r>
              <w:t>0.0%</w:t>
            </w:r>
          </w:p>
        </w:tc>
      </w:tr>
      <w:tr>
        <w:tc>
          <w:tcPr>
            <w:tcW w:type="dxa" w:w="1728"/>
          </w:tcPr>
          <w:p>
            <w:r>
              <w:t>VG niet gedefinieerd | Lozing beperkte hoeveelheid stoffen</w:t>
            </w:r>
          </w:p>
        </w:tc>
        <w:tc>
          <w:tcPr>
            <w:tcW w:type="dxa" w:w="1728"/>
          </w:tcPr>
          <w:p>
            <w:r>
              <w:t>89.90</w:t>
            </w:r>
          </w:p>
        </w:tc>
        <w:tc>
          <w:tcPr>
            <w:tcW w:type="dxa" w:w="1728"/>
          </w:tcPr>
          <w:p>
            <w:r>
              <w:t>incidenten</w:t>
            </w:r>
          </w:p>
        </w:tc>
        <w:tc>
          <w:tcPr>
            <w:tcW w:type="dxa" w:w="1728"/>
          </w:tcPr>
          <w:p>
            <w:r>
              <w:t>0,9</w:t>
            </w:r>
          </w:p>
        </w:tc>
        <w:tc>
          <w:tcPr>
            <w:tcW w:type="dxa" w:w="1728"/>
          </w:tcPr>
          <w:p>
            <w:r>
              <w:t>0.0%</w:t>
            </w:r>
          </w:p>
        </w:tc>
      </w:tr>
      <w:tr>
        <w:tc>
          <w:tcPr>
            <w:tcW w:type="dxa" w:w="1728"/>
          </w:tcPr>
          <w:p>
            <w:r>
              <w:t>Lichte verwonding of schade aan de gezondheid (omkeerbaar) | Hinder voor omgeving (vogels, …)</w:t>
            </w:r>
          </w:p>
        </w:tc>
        <w:tc>
          <w:tcPr>
            <w:tcW w:type="dxa" w:w="1728"/>
          </w:tcPr>
          <w:p>
            <w:r>
              <w:t>35.78</w:t>
            </w:r>
          </w:p>
        </w:tc>
        <w:tc>
          <w:tcPr>
            <w:tcW w:type="dxa" w:w="1728"/>
          </w:tcPr>
          <w:p>
            <w:r>
              <w:t>incidenten</w:t>
            </w:r>
          </w:p>
        </w:tc>
        <w:tc>
          <w:tcPr>
            <w:tcW w:type="dxa" w:w="1728"/>
          </w:tcPr>
          <w:p>
            <w:r>
              <w:t>0,01 / 0,02 / 0,1</w:t>
            </w:r>
          </w:p>
        </w:tc>
        <w:tc>
          <w:tcPr>
            <w:tcW w:type="dxa" w:w="1728"/>
          </w:tcPr>
          <w:p>
            <w:r>
              <w:t>0.0%</w:t>
            </w:r>
          </w:p>
        </w:tc>
      </w:tr>
      <w:tr>
        <w:tc>
          <w:tcPr>
            <w:tcW w:type="dxa" w:w="1728"/>
          </w:tcPr>
          <w:p>
            <w:r>
              <w:t>Zware verwonding of schade aan de gezondheid (verzuim of onomkeerbaar) | Lozing grote hoeveelheid stoffen.</w:t>
            </w:r>
          </w:p>
        </w:tc>
        <w:tc>
          <w:tcPr>
            <w:tcW w:type="dxa" w:w="1728"/>
          </w:tcPr>
          <w:p>
            <w:r>
              <w:t>30.39</w:t>
            </w:r>
          </w:p>
        </w:tc>
        <w:tc>
          <w:tcPr>
            <w:tcW w:type="dxa" w:w="1728"/>
          </w:tcPr>
          <w:p>
            <w:r>
              <w:t>incidenten</w:t>
            </w:r>
          </w:p>
        </w:tc>
        <w:tc>
          <w:tcPr>
            <w:tcW w:type="dxa" w:w="1728"/>
          </w:tcPr>
          <w:p>
            <w:r>
              <w:t>0,001 / 0,01 / 0,1 / 1</w:t>
            </w:r>
          </w:p>
        </w:tc>
        <w:tc>
          <w:tcPr>
            <w:tcW w:type="dxa" w:w="1728"/>
          </w:tcPr>
          <w:p>
            <w:r>
              <w:t>0.0%</w:t>
            </w:r>
          </w:p>
        </w:tc>
      </w:tr>
      <w:tr>
        <w:tc>
          <w:tcPr>
            <w:tcW w:type="dxa" w:w="1728"/>
          </w:tcPr>
          <w:p>
            <w:r>
              <w:t>Catastrofaal | Lozing giftige stoffen met ernstige impact</w:t>
            </w:r>
          </w:p>
        </w:tc>
        <w:tc>
          <w:tcPr>
            <w:tcW w:type="dxa" w:w="1728"/>
          </w:tcPr>
          <w:p>
            <w:r>
              <w:t>2.03</w:t>
            </w:r>
          </w:p>
        </w:tc>
        <w:tc>
          <w:tcPr>
            <w:tcW w:type="dxa" w:w="1728"/>
          </w:tcPr>
          <w:p>
            <w:r>
              <w:t>incidenten</w:t>
            </w:r>
          </w:p>
        </w:tc>
        <w:tc>
          <w:tcPr>
            <w:tcW w:type="dxa" w:w="1728"/>
          </w:tcPr>
          <w:p>
            <w:r>
              <w:t>0,0001 / 0,01</w:t>
            </w:r>
          </w:p>
        </w:tc>
        <w:tc>
          <w:tcPr>
            <w:tcW w:type="dxa" w:w="1728"/>
          </w:tcPr>
          <w:p>
            <w:r>
              <w:t>0.0%</w:t>
            </w:r>
          </w:p>
        </w:tc>
      </w:tr>
    </w:tbl>
    <w:p>
      <w:pPr>
        <w:pStyle w:val="Heading2"/>
      </w:pPr>
      <w:r>
        <w:t>PBS-opbouw — B — project, 235 PM passief</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Waarde</w:t>
            </w:r>
          </w:p>
        </w:tc>
        <w:tc>
          <w:tcPr>
            <w:tcW w:type="dxa" w:w="2880"/>
          </w:tcPr>
          <w:p>
            <w:r>
              <w:t>Aandeel %</w:t>
            </w:r>
          </w:p>
        </w:tc>
      </w:tr>
      <w:tr>
        <w:tc>
          <w:tcPr>
            <w:tcW w:type="dxa" w:w="2880"/>
          </w:tcPr>
          <w:p>
            <w:r>
              <w:t>Buisleiding, rubber_1331_</w:t>
            </w:r>
          </w:p>
        </w:tc>
        <w:tc>
          <w:tcPr>
            <w:tcW w:type="dxa" w:w="2880"/>
          </w:tcPr>
          <w:p>
            <w:r>
              <w:t>0.27</w:t>
            </w:r>
          </w:p>
        </w:tc>
        <w:tc>
          <w:tcPr>
            <w:tcW w:type="dxa" w:w="2880"/>
          </w:tcPr>
          <w:p>
            <w:r>
              <w:t>100.0%</w:t>
            </w:r>
          </w:p>
        </w:tc>
      </w:tr>
    </w:tbl>
    <w:p>
      <w:pPr>
        <w:pStyle w:val="Heading1"/>
      </w:pPr>
      <w:r>
        <w:t>Appendix</w:t>
      </w:r>
    </w:p>
    <w:p>
      <w:r>
        <w:t>Jaarverdeling uit het motor-horizonprofiel (correctieve downtime + verborgen niet-beschikbaarheid). Lifecycle-totalen reconciliëren met de motor.</w:t>
      </w:r>
    </w:p>
    <w:p>
      <w:r>
        <w:t>Som van functie-NB kan &gt;100% zijn wanneer functies parallel uitvallen.</w:t>
      </w:r>
    </w:p>
    <w:p>
      <w:r>
        <w:t>0 NB-functie(s) en 0 kosten-functie(s) onder drempel weggelaten.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