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7FB2"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Rapport – Livrable 1 : Infrastructure de collecte d’ambiance</w:t>
      </w:r>
    </w:p>
    <w:p w14:paraId="61FEB497"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Équipe</w:t>
      </w:r>
    </w:p>
    <w:p w14:paraId="0362F866"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Wendkuni Reine Rosine Guinguiere</w:t>
      </w:r>
    </w:p>
    <w:p w14:paraId="06E017FB"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Meriem Ghaoui</w:t>
      </w:r>
    </w:p>
    <w:p w14:paraId="5E04B121"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Samah Tanisha Islam</w:t>
      </w:r>
    </w:p>
    <w:p w14:paraId="750C1A9F"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6E4FF0B6">
          <v:rect id="_x0000_i1033" alt="" style="width:6in;height:.05pt;mso-width-percent:0;mso-height-percent:0;mso-width-percent:0;mso-height-percent:0" o:hralign="center" o:hrstd="t" o:hr="t" fillcolor="#a0a0a0" stroked="f"/>
        </w:pict>
      </w:r>
    </w:p>
    <w:p w14:paraId="6C664B95"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1. Ressources et endpoints</w:t>
      </w:r>
    </w:p>
    <w:p w14:paraId="2B6E7CB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Notre système permet de collecter des données d’ambiance provenant de capteurs mobiles et d’observations humaines, puis de produire des indicateurs synthétiques sur différents lieux.</w:t>
      </w:r>
    </w:p>
    <w:p w14:paraId="48B2DC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modèle de données repose sur trois ressources principales :</w:t>
      </w:r>
    </w:p>
    <w:p w14:paraId="10C8F081"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Devices</w:t>
      </w:r>
      <w:r w:rsidRPr="0033714E">
        <w:rPr>
          <w:rFonts w:ascii="Times New Roman" w:eastAsia="Times New Roman" w:hAnsi="Times New Roman" w:cs="Times New Roman"/>
          <w:kern w:val="0"/>
          <w:lang w:eastAsia="fr-CA"/>
          <w14:ligatures w14:val="none"/>
        </w:rPr>
        <w:t xml:space="preserve"> : appareils autorisés à transmettre des données.</w:t>
      </w:r>
    </w:p>
    <w:p w14:paraId="07BF50EB"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Measurements</w:t>
      </w:r>
      <w:r w:rsidRPr="0033714E">
        <w:rPr>
          <w:rFonts w:ascii="Times New Roman" w:eastAsia="Times New Roman" w:hAnsi="Times New Roman" w:cs="Times New Roman"/>
          <w:kern w:val="0"/>
          <w:lang w:eastAsia="fr-CA"/>
          <w14:ligatures w14:val="none"/>
        </w:rPr>
        <w:t xml:space="preserve"> : mesures brutes provenant des capteurs.</w:t>
      </w:r>
    </w:p>
    <w:p w14:paraId="519008DC"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Observations</w:t>
      </w:r>
      <w:r w:rsidRPr="0033714E">
        <w:rPr>
          <w:rFonts w:ascii="Times New Roman" w:eastAsia="Times New Roman" w:hAnsi="Times New Roman" w:cs="Times New Roman"/>
          <w:kern w:val="0"/>
          <w:lang w:eastAsia="fr-CA"/>
          <w14:ligatures w14:val="none"/>
        </w:rPr>
        <w:t xml:space="preserve"> : observations qualitatives réalisées par des utilisateurs.</w:t>
      </w:r>
    </w:p>
    <w:p w14:paraId="1DB0B053"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Ambiance</w:t>
      </w:r>
      <w:r w:rsidRPr="0033714E">
        <w:rPr>
          <w:rFonts w:ascii="Times New Roman" w:eastAsia="Times New Roman" w:hAnsi="Times New Roman" w:cs="Times New Roman"/>
          <w:kern w:val="0"/>
          <w:lang w:eastAsia="fr-CA"/>
          <w14:ligatures w14:val="none"/>
        </w:rPr>
        <w:t xml:space="preserve"> : ressource calculée permettant d’obtenir une vue synthétique de l’état d’un lieu.</w:t>
      </w:r>
    </w:p>
    <w:p w14:paraId="1E690FC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Endpoints</w:t>
      </w:r>
    </w:p>
    <w:p w14:paraId="3F903FC2"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Devices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021"/>
        <w:gridCol w:w="2961"/>
      </w:tblGrid>
      <w:tr w:rsidR="0033714E" w:rsidRPr="0033714E" w14:paraId="7B1C08D3" w14:textId="77777777">
        <w:trPr>
          <w:tblHeader/>
          <w:tblCellSpacing w:w="15" w:type="dxa"/>
        </w:trPr>
        <w:tc>
          <w:tcPr>
            <w:tcW w:w="0" w:type="auto"/>
            <w:vAlign w:val="center"/>
            <w:hideMark/>
          </w:tcPr>
          <w:p w14:paraId="1BEABAD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170F6B6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5983452"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2FF8A5FD" w14:textId="77777777">
        <w:trPr>
          <w:tblCellSpacing w:w="15" w:type="dxa"/>
        </w:trPr>
        <w:tc>
          <w:tcPr>
            <w:tcW w:w="0" w:type="auto"/>
            <w:vAlign w:val="center"/>
            <w:hideMark/>
          </w:tcPr>
          <w:p w14:paraId="7D8B7B16"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6AFE05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tc>
        <w:tc>
          <w:tcPr>
            <w:tcW w:w="0" w:type="auto"/>
            <w:vAlign w:val="center"/>
            <w:hideMark/>
          </w:tcPr>
          <w:p w14:paraId="2E272D1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w:t>
            </w:r>
          </w:p>
        </w:tc>
      </w:tr>
      <w:tr w:rsidR="0033714E" w:rsidRPr="0033714E" w14:paraId="7BECBF96" w14:textId="77777777">
        <w:trPr>
          <w:tblCellSpacing w:w="15" w:type="dxa"/>
        </w:trPr>
        <w:tc>
          <w:tcPr>
            <w:tcW w:w="0" w:type="auto"/>
            <w:vAlign w:val="center"/>
            <w:hideMark/>
          </w:tcPr>
          <w:p w14:paraId="7104B95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5D4653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tc>
        <w:tc>
          <w:tcPr>
            <w:tcW w:w="0" w:type="auto"/>
            <w:vAlign w:val="center"/>
            <w:hideMark/>
          </w:tcPr>
          <w:p w14:paraId="6DFF730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Liste des appareils enregistrés</w:t>
            </w:r>
          </w:p>
        </w:tc>
      </w:tr>
    </w:tbl>
    <w:p w14:paraId="447EDAD9"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Measurements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500"/>
        <w:gridCol w:w="4267"/>
      </w:tblGrid>
      <w:tr w:rsidR="0033714E" w:rsidRPr="0033714E" w14:paraId="5DC64333" w14:textId="77777777">
        <w:trPr>
          <w:tblHeader/>
          <w:tblCellSpacing w:w="15" w:type="dxa"/>
        </w:trPr>
        <w:tc>
          <w:tcPr>
            <w:tcW w:w="0" w:type="auto"/>
            <w:vAlign w:val="center"/>
            <w:hideMark/>
          </w:tcPr>
          <w:p w14:paraId="519E8C5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A7A2FA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C83224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5B09F20C" w14:textId="77777777">
        <w:trPr>
          <w:tblCellSpacing w:w="15" w:type="dxa"/>
        </w:trPr>
        <w:tc>
          <w:tcPr>
            <w:tcW w:w="0" w:type="auto"/>
            <w:vAlign w:val="center"/>
            <w:hideMark/>
          </w:tcPr>
          <w:p w14:paraId="1A0CD3B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9230B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tc>
        <w:tc>
          <w:tcPr>
            <w:tcW w:w="0" w:type="auto"/>
            <w:vAlign w:val="center"/>
            <w:hideMark/>
          </w:tcPr>
          <w:p w14:paraId="5083601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mesure provenant d’un capteur</w:t>
            </w:r>
          </w:p>
        </w:tc>
      </w:tr>
      <w:tr w:rsidR="0033714E" w:rsidRPr="0033714E" w14:paraId="431DAB2E" w14:textId="77777777">
        <w:trPr>
          <w:tblCellSpacing w:w="15" w:type="dxa"/>
        </w:trPr>
        <w:tc>
          <w:tcPr>
            <w:tcW w:w="0" w:type="auto"/>
            <w:vAlign w:val="center"/>
            <w:hideMark/>
          </w:tcPr>
          <w:p w14:paraId="2797B03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014F2EF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tc>
        <w:tc>
          <w:tcPr>
            <w:tcW w:w="0" w:type="auto"/>
            <w:vAlign w:val="center"/>
            <w:hideMark/>
          </w:tcPr>
          <w:p w14:paraId="55CA0B3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mesures</w:t>
            </w:r>
          </w:p>
        </w:tc>
      </w:tr>
    </w:tbl>
    <w:p w14:paraId="643CD35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340"/>
        <w:gridCol w:w="3348"/>
      </w:tblGrid>
      <w:tr w:rsidR="0033714E" w:rsidRPr="0033714E" w14:paraId="1DD67FA1" w14:textId="77777777">
        <w:trPr>
          <w:tblHeader/>
          <w:tblCellSpacing w:w="15" w:type="dxa"/>
        </w:trPr>
        <w:tc>
          <w:tcPr>
            <w:tcW w:w="0" w:type="auto"/>
            <w:vAlign w:val="center"/>
            <w:hideMark/>
          </w:tcPr>
          <w:p w14:paraId="0C854D7C"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lastRenderedPageBreak/>
              <w:t>Méthode</w:t>
            </w:r>
          </w:p>
        </w:tc>
        <w:tc>
          <w:tcPr>
            <w:tcW w:w="0" w:type="auto"/>
            <w:vAlign w:val="center"/>
            <w:hideMark/>
          </w:tcPr>
          <w:p w14:paraId="70FA587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F201BC7"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7AEBFD98" w14:textId="77777777">
        <w:trPr>
          <w:tblCellSpacing w:w="15" w:type="dxa"/>
        </w:trPr>
        <w:tc>
          <w:tcPr>
            <w:tcW w:w="0" w:type="auto"/>
            <w:vAlign w:val="center"/>
            <w:hideMark/>
          </w:tcPr>
          <w:p w14:paraId="48EB1143"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D02260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5678FF6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observation manuelle</w:t>
            </w:r>
          </w:p>
        </w:tc>
      </w:tr>
      <w:tr w:rsidR="0033714E" w:rsidRPr="0033714E" w14:paraId="4C6AC0AD" w14:textId="77777777">
        <w:trPr>
          <w:tblCellSpacing w:w="15" w:type="dxa"/>
        </w:trPr>
        <w:tc>
          <w:tcPr>
            <w:tcW w:w="0" w:type="auto"/>
            <w:vAlign w:val="center"/>
            <w:hideMark/>
          </w:tcPr>
          <w:p w14:paraId="4A6C99D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357B7D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17344C9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observations</w:t>
            </w:r>
          </w:p>
        </w:tc>
      </w:tr>
    </w:tbl>
    <w:p w14:paraId="366E90C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Ambiance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3109"/>
        <w:gridCol w:w="4549"/>
      </w:tblGrid>
      <w:tr w:rsidR="0033714E" w:rsidRPr="0033714E" w14:paraId="3592A733" w14:textId="77777777">
        <w:trPr>
          <w:tblHeader/>
          <w:tblCellSpacing w:w="15" w:type="dxa"/>
        </w:trPr>
        <w:tc>
          <w:tcPr>
            <w:tcW w:w="0" w:type="auto"/>
            <w:vAlign w:val="center"/>
            <w:hideMark/>
          </w:tcPr>
          <w:p w14:paraId="4AB5EE26"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07E144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3FDDA869"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675F27E4" w14:textId="77777777">
        <w:trPr>
          <w:tblCellSpacing w:w="15" w:type="dxa"/>
        </w:trPr>
        <w:tc>
          <w:tcPr>
            <w:tcW w:w="0" w:type="auto"/>
            <w:vAlign w:val="center"/>
            <w:hideMark/>
          </w:tcPr>
          <w:p w14:paraId="56252E50"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6B6E844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/ambiance/:location/summary</w:t>
            </w:r>
          </w:p>
        </w:tc>
        <w:tc>
          <w:tcPr>
            <w:tcW w:w="0" w:type="auto"/>
            <w:vAlign w:val="center"/>
            <w:hideMark/>
          </w:tcPr>
          <w:p w14:paraId="09D5BA7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Résumé global d’un lieu</w:t>
            </w:r>
          </w:p>
        </w:tc>
      </w:tr>
      <w:tr w:rsidR="0033714E" w:rsidRPr="0033714E" w14:paraId="006C006A" w14:textId="77777777">
        <w:trPr>
          <w:tblCellSpacing w:w="15" w:type="dxa"/>
        </w:trPr>
        <w:tc>
          <w:tcPr>
            <w:tcW w:w="0" w:type="auto"/>
            <w:vAlign w:val="center"/>
            <w:hideMark/>
          </w:tcPr>
          <w:p w14:paraId="488A4C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7CABF2B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/ambiance/:location/history</w:t>
            </w:r>
          </w:p>
        </w:tc>
        <w:tc>
          <w:tcPr>
            <w:tcW w:w="0" w:type="auto"/>
            <w:vAlign w:val="center"/>
            <w:hideMark/>
          </w:tcPr>
          <w:p w14:paraId="6B8C4CD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Historique des mesures</w:t>
            </w:r>
          </w:p>
        </w:tc>
      </w:tr>
      <w:tr w:rsidR="0033714E" w:rsidRPr="0033714E" w14:paraId="28326118" w14:textId="77777777">
        <w:trPr>
          <w:tblCellSpacing w:w="15" w:type="dxa"/>
        </w:trPr>
        <w:tc>
          <w:tcPr>
            <w:tcW w:w="0" w:type="auto"/>
            <w:vAlign w:val="center"/>
            <w:hideMark/>
          </w:tcPr>
          <w:p w14:paraId="4A589A2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41FAEF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/ambiance/:location/quiet-hours</w:t>
            </w:r>
          </w:p>
        </w:tc>
        <w:tc>
          <w:tcPr>
            <w:tcW w:w="0" w:type="auto"/>
            <w:vAlign w:val="center"/>
            <w:hideMark/>
          </w:tcPr>
          <w:p w14:paraId="0E889114"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Identification des périodes les plus silencieuses</w:t>
            </w:r>
          </w:p>
        </w:tc>
      </w:tr>
    </w:tbl>
    <w:p w14:paraId="2FC38B5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Justification du découpage</w:t>
      </w:r>
    </w:p>
    <w:p w14:paraId="7BC6711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Nous avons choisi de séparer les appareils, les mesures et les observations afin de respecter les principes REST et de conserver une responsabilité unique pour chaque ressource.</w:t>
      </w:r>
    </w:p>
    <w:p w14:paraId="06ED2DF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mesures représentent des données quantitatives produites automatiquement par les capteurs tandis que les observations représentent des données qualitatives saisies manuellement. Les deux types d’information sont complémentaires mais possèdent des cycles de vie différents.</w:t>
      </w:r>
    </w:p>
    <w:p w14:paraId="54090F7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ressource « ambiance » ne correspond pas à une entité stockée directement dans la base de données. Elle représente plutôt une vue calculée à partir des données brutes collectées.</w:t>
      </w:r>
    </w:p>
    <w:p w14:paraId="7AA2D437"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4160F021">
          <v:rect id="_x0000_i1032" alt="" style="width:6in;height:.05pt;mso-width-percent:0;mso-height-percent:0;mso-width-percent:0;mso-height-percent:0" o:hralign="center" o:hrstd="t" o:hr="t" fillcolor="#a0a0a0" stroked="f"/>
        </w:pict>
      </w:r>
    </w:p>
    <w:p w14:paraId="53B4449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2. Conventions</w:t>
      </w:r>
    </w:p>
    <w:p w14:paraId="45B7D2A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Nommage</w:t>
      </w:r>
    </w:p>
    <w:p w14:paraId="381A532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ressources utilisent des noms pluriels :</w:t>
      </w:r>
    </w:p>
    <w:p w14:paraId="64F4AEE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p w14:paraId="19E67C1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p w14:paraId="3A32F2E4"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p w14:paraId="4F9CF6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convention facilite la compréhension de l’API et suit les pratiques REST courantes.</w:t>
      </w:r>
    </w:p>
    <w:p w14:paraId="53B079F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Horodatage</w:t>
      </w:r>
    </w:p>
    <w:p w14:paraId="3443727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Tous les horodatages sont enregistrés au format ISO 8601.</w:t>
      </w:r>
    </w:p>
    <w:p w14:paraId="1A8A02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Exemple :</w:t>
      </w:r>
    </w:p>
    <w:p w14:paraId="3B93F9C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2026-06-15T23:20:11.008Z</w:t>
      </w:r>
    </w:p>
    <w:p w14:paraId="36E2744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 format est indépendant du fuseau horaire local et est facilement interprétable par différents langages et plateformes.</w:t>
      </w:r>
    </w:p>
    <w:p w14:paraId="2894977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réponses</w:t>
      </w:r>
    </w:p>
    <w:p w14:paraId="6783CD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réponses sont encapsulées dans un objet JSON contenant un indicateur de succès.</w:t>
      </w:r>
    </w:p>
    <w:p w14:paraId="466432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Exemple :</w:t>
      </w:r>
    </w:p>
    <w:p w14:paraId="0CEBDD0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true,</w:t>
      </w:r>
      <w:r w:rsidRPr="0033714E">
        <w:rPr>
          <w:rFonts w:ascii="Times New Roman" w:eastAsia="Times New Roman" w:hAnsi="Times New Roman" w:cs="Times New Roman"/>
          <w:kern w:val="0"/>
          <w:lang w:eastAsia="fr-CA"/>
          <w14:ligatures w14:val="none"/>
        </w:rPr>
        <w:br/>
        <w:t>"data": {...}</w:t>
      </w:r>
      <w:r w:rsidRPr="0033714E">
        <w:rPr>
          <w:rFonts w:ascii="Times New Roman" w:eastAsia="Times New Roman" w:hAnsi="Times New Roman" w:cs="Times New Roman"/>
          <w:kern w:val="0"/>
          <w:lang w:eastAsia="fr-CA"/>
          <w14:ligatures w14:val="none"/>
        </w:rPr>
        <w:br/>
        <w:t>}</w:t>
      </w:r>
    </w:p>
    <w:p w14:paraId="4F8BB3A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approche permet au client de vérifier rapidement si l’opération a réussi avant d’interpréter les données.</w:t>
      </w:r>
    </w:p>
    <w:p w14:paraId="3D77100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erreurs</w:t>
      </w:r>
    </w:p>
    <w:p w14:paraId="1BAE2BD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erreurs sont retournées sous la forme :</w:t>
      </w:r>
    </w:p>
    <w:p w14:paraId="03D4AE6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"Description de l’erreur"</w:t>
      </w:r>
      <w:r w:rsidRPr="0033714E">
        <w:rPr>
          <w:rFonts w:ascii="Times New Roman" w:eastAsia="Times New Roman" w:hAnsi="Times New Roman" w:cs="Times New Roman"/>
          <w:kern w:val="0"/>
          <w:lang w:eastAsia="fr-CA"/>
          <w14:ligatures w14:val="none"/>
        </w:rPr>
        <w:br/>
        <w:t>}</w:t>
      </w:r>
    </w:p>
    <w:p w14:paraId="113349FC"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convention fournit un comportement uniforme pour tous les endpoints.</w:t>
      </w:r>
    </w:p>
    <w:p w14:paraId="77AA1499"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58614068">
          <v:rect id="_x0000_i1031" alt="" style="width:6in;height:.05pt;mso-width-percent:0;mso-height-percent:0;mso-width-percent:0;mso-height-percent:0" o:hralign="center" o:hrstd="t" o:hr="t" fillcolor="#a0a0a0" stroked="f"/>
        </w:pict>
      </w:r>
    </w:p>
    <w:p w14:paraId="52E5196F"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3. Authentification</w:t>
      </w:r>
    </w:p>
    <w:p w14:paraId="3A0D87B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L’authentification repose sur une clé API associée à chaque appareil.</w:t>
      </w:r>
    </w:p>
    <w:p w14:paraId="341C9A3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Flux</w:t>
      </w:r>
    </w:p>
    <w:p w14:paraId="48556AA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 via POST /devices.</w:t>
      </w:r>
    </w:p>
    <w:p w14:paraId="0FE867E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Génération automatique d’une clé API unique.</w:t>
      </w:r>
    </w:p>
    <w:p w14:paraId="61E5B77E"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Transmission de cette clé dans l’en-tête HTTP :</w:t>
      </w:r>
    </w:p>
    <w:p w14:paraId="44BD42A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x-api-key</w:t>
      </w:r>
    </w:p>
    <w:p w14:paraId="2BB3C1E3" w14:textId="77777777" w:rsidR="0033714E" w:rsidRPr="0033714E" w:rsidRDefault="0033714E" w:rsidP="0033714E">
      <w:pPr>
        <w:numPr>
          <w:ilvl w:val="0"/>
          <w:numId w:val="5"/>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Validation de la clé avant l’enregistrement des mesures ou observations.</w:t>
      </w:r>
    </w:p>
    <w:p w14:paraId="2A21EF8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Gestion des erreurs</w:t>
      </w:r>
    </w:p>
    <w:p w14:paraId="72EF654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absente :</w:t>
      </w:r>
    </w:p>
    <w:p w14:paraId="650E824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"Clé API manquante"</w:t>
      </w:r>
      <w:r w:rsidRPr="0033714E">
        <w:rPr>
          <w:rFonts w:ascii="Times New Roman" w:eastAsia="Times New Roman" w:hAnsi="Times New Roman" w:cs="Times New Roman"/>
          <w:kern w:val="0"/>
          <w:lang w:eastAsia="fr-CA"/>
          <w14:ligatures w14:val="none"/>
        </w:rPr>
        <w:br/>
        <w:t>}</w:t>
      </w:r>
    </w:p>
    <w:p w14:paraId="78A8E44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invalide :</w:t>
      </w:r>
    </w:p>
    <w:p w14:paraId="024AC67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"Clé API invalide"</w:t>
      </w:r>
      <w:r w:rsidRPr="0033714E">
        <w:rPr>
          <w:rFonts w:ascii="Times New Roman" w:eastAsia="Times New Roman" w:hAnsi="Times New Roman" w:cs="Times New Roman"/>
          <w:kern w:val="0"/>
          <w:lang w:eastAsia="fr-CA"/>
          <w14:ligatures w14:val="none"/>
        </w:rPr>
        <w:br/>
        <w:t>}</w:t>
      </w:r>
    </w:p>
    <w:p w14:paraId="09ABDBE8"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Vulnérabilité identifiée</w:t>
      </w:r>
    </w:p>
    <w:p w14:paraId="21201A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L’endpoint POST /devices n’est actuellement pas protégé.</w:t>
      </w:r>
    </w:p>
    <w:p w14:paraId="67A9E6D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Toute personne connaissant l’URL du serveur peut créer un nouvel appareil et obtenir une clé valide.</w:t>
      </w:r>
    </w:p>
    <w:p w14:paraId="7C0ACE8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Amélioration proposée</w:t>
      </w:r>
    </w:p>
    <w:p w14:paraId="45A27E5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Dans une version future, la création d’appareils pourrait être réservée à des administrateurs authentifiés ou nécessiter une clé d’inscription préalablement distribuée.</w:t>
      </w:r>
    </w:p>
    <w:p w14:paraId="05D5B357"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27F0C55F">
          <v:rect id="_x0000_i1030" alt="" style="width:6in;height:.05pt;mso-width-percent:0;mso-height-percent:0;mso-width-percent:0;mso-height-percent:0" o:hralign="center" o:hrstd="t" o:hr="t" fillcolor="#a0a0a0" stroked="f"/>
        </w:pict>
      </w:r>
    </w:p>
    <w:p w14:paraId="724DBB03"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4. Collecte des données</w:t>
      </w:r>
    </w:p>
    <w:p w14:paraId="2B0C5AF3"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Architecture</w:t>
      </w:r>
    </w:p>
    <w:p w14:paraId="1409F5A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mesures sont collectées à l’aide de l’application Phyphox installée sur un téléphone mobile.</w:t>
      </w:r>
    </w:p>
    <w:p w14:paraId="5D226F5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flux de données est le suivant :</w:t>
      </w:r>
    </w:p>
    <w:p w14:paraId="0D16751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val="en-CA" w:eastAsia="fr-CA"/>
          <w14:ligatures w14:val="none"/>
        </w:rPr>
      </w:pPr>
      <w:r w:rsidRPr="0033714E">
        <w:rPr>
          <w:rFonts w:ascii="Times New Roman" w:eastAsia="Times New Roman" w:hAnsi="Times New Roman" w:cs="Times New Roman"/>
          <w:kern w:val="0"/>
          <w:lang w:val="en-CA" w:eastAsia="fr-CA"/>
          <w14:ligatures w14:val="none"/>
        </w:rPr>
        <w:t>Phyphox → Bridge Node.js → API Express → MongoDB Atlas</w:t>
      </w:r>
    </w:p>
    <w:p w14:paraId="319698F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bridge interroge périodiquement Phyphox puis transmet les mesures à l’API.</w:t>
      </w:r>
    </w:p>
    <w:p w14:paraId="797742F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Fréquence</w:t>
      </w:r>
    </w:p>
    <w:p w14:paraId="6F5145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Une mesure est envoyée toutes les cinq secondes.</w:t>
      </w:r>
    </w:p>
    <w:p w14:paraId="1BDDF040"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Format transmis</w:t>
      </w:r>
    </w:p>
    <w:p w14:paraId="2C56926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"soundLevel": -63.2,</w:t>
      </w:r>
      <w:r w:rsidRPr="0033714E">
        <w:rPr>
          <w:rFonts w:ascii="Times New Roman" w:eastAsia="Times New Roman" w:hAnsi="Times New Roman" w:cs="Times New Roman"/>
          <w:kern w:val="0"/>
          <w:lang w:eastAsia="fr-CA"/>
          <w14:ligatures w14:val="none"/>
        </w:rPr>
        <w:br/>
        <w:t>"amplitude": 63.2,</w:t>
      </w:r>
      <w:r w:rsidRPr="0033714E">
        <w:rPr>
          <w:rFonts w:ascii="Times New Roman" w:eastAsia="Times New Roman" w:hAnsi="Times New Roman" w:cs="Times New Roman"/>
          <w:kern w:val="0"/>
          <w:lang w:eastAsia="fr-CA"/>
          <w14:ligatures w14:val="none"/>
        </w:rPr>
        <w:br/>
        <w:t>"timestamp": "2026-06-15T23:00:00.000Z"</w:t>
      </w:r>
      <w:r w:rsidRPr="0033714E">
        <w:rPr>
          <w:rFonts w:ascii="Times New Roman" w:eastAsia="Times New Roman" w:hAnsi="Times New Roman" w:cs="Times New Roman"/>
          <w:kern w:val="0"/>
          <w:lang w:eastAsia="fr-CA"/>
          <w14:ligatures w14:val="none"/>
        </w:rPr>
        <w:br/>
        <w:t>}</w:t>
      </w:r>
    </w:p>
    <w:p w14:paraId="103B5A61"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Fallback manuel</w:t>
      </w:r>
    </w:p>
    <w:p w14:paraId="5006F05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 complément des mesures automatiques, des observations humaines peuvent être enregistrées afin de documenter des éléments que les capteurs ne peuvent pas interpréter, par exemple :</w:t>
      </w:r>
    </w:p>
    <w:p w14:paraId="353FF14F"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présence de conversations;</w:t>
      </w:r>
    </w:p>
    <w:p w14:paraId="71192F26"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déplacements de personnes;</w:t>
      </w:r>
    </w:p>
    <w:p w14:paraId="6E32C1A2"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 générale;</w:t>
      </w:r>
    </w:p>
    <w:p w14:paraId="2C3B5538"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proximité de la source sonore.</w:t>
      </w:r>
    </w:p>
    <w:p w14:paraId="7B411870"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3148CE6C">
          <v:rect id="_x0000_i1029" alt="" style="width:6in;height:.05pt;mso-width-percent:0;mso-height-percent:0;mso-width-percent:0;mso-height-percent:0" o:hralign="center" o:hrstd="t" o:hr="t" fillcolor="#a0a0a0" stroked="f"/>
        </w:pict>
      </w:r>
    </w:p>
    <w:p w14:paraId="0B536B6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5. Agrégation</w:t>
      </w:r>
    </w:p>
    <w:p w14:paraId="1A4B81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endpoints de la ressource ambiance calculent leurs résultats à partir des données stockées dans les collections measurements et observations.</w:t>
      </w:r>
    </w:p>
    <w:p w14:paraId="5DB85D45"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Summary</w:t>
      </w:r>
    </w:p>
    <w:p w14:paraId="04DEF5D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résumé calcule :</w:t>
      </w:r>
    </w:p>
    <w:p w14:paraId="788AD1EF"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nombre total de mesures;</w:t>
      </w:r>
    </w:p>
    <w:p w14:paraId="00A4B5F0"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nombre total d’observations;</w:t>
      </w:r>
    </w:p>
    <w:p w14:paraId="49E4724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moyenne des niveaux sonores;</w:t>
      </w:r>
    </w:p>
    <w:p w14:paraId="5C001F0C"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dernière observation disponible;</w:t>
      </w:r>
    </w:p>
    <w:p w14:paraId="0BB4093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classification globale de l’ambiance.</w:t>
      </w:r>
    </w:p>
    <w:p w14:paraId="14D183F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History</w:t>
      </w:r>
    </w:p>
    <w:p w14:paraId="44C0EC3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L’historique retourne l’ensemble des mesures associées à un lieu donné.</w:t>
      </w:r>
    </w:p>
    <w:p w14:paraId="3833682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Quiet Hours</w:t>
      </w:r>
    </w:p>
    <w:p w14:paraId="273070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 endpoint regroupe les mesures par heure et calcule la moyenne du niveau sonore pour chaque période.</w:t>
      </w:r>
    </w:p>
    <w:p w14:paraId="0867E64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Il permet d’identifier les moments les plus calmes d’un environnement.</w:t>
      </w:r>
    </w:p>
    <w:p w14:paraId="14F9C02F"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54787460">
          <v:rect id="_x0000_i1028" alt="" style="width:6in;height:.05pt;mso-width-percent:0;mso-height-percent:0;mso-width-percent:0;mso-height-percent:0" o:hralign="center" o:hrstd="t" o:hr="t" fillcolor="#a0a0a0" stroked="f"/>
        </w:pict>
      </w:r>
    </w:p>
    <w:p w14:paraId="4C4E79C1"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6. Résultats expérimentaux</w:t>
      </w:r>
    </w:p>
    <w:p w14:paraId="79A1C12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1 – Wendkuni Reine Rosine Guinguiere</w:t>
      </w:r>
    </w:p>
    <w:p w14:paraId="4D7C899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3DB6CF7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2941631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15 juin 2026</w:t>
      </w:r>
    </w:p>
    <w:p w14:paraId="4C82596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20 minutes</w:t>
      </w:r>
    </w:p>
    <w:p w14:paraId="3FAD3A5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Application utilisée : Phyphox</w:t>
      </w:r>
    </w:p>
    <w:p w14:paraId="73A3AE4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696122F1"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4E86794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L’environnement observé était globalement calme.</w:t>
      </w:r>
    </w:p>
    <w:p w14:paraId="17E676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majorité des personnes présentes travaillaient individuellement. Quelques déplacements et discussions ponctuelles ont été observés, mais aucun événement particulièrement bruyant n’a été constaté.</w:t>
      </w:r>
    </w:p>
    <w:p w14:paraId="7F51563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Des observations manuelles ont été enregistrées au début et à la fin de la séance afin de compléter les données quantitatives.</w:t>
      </w:r>
    </w:p>
    <w:p w14:paraId="6E659E6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4B7B8DA5"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296 mesures enregistrées</w:t>
      </w:r>
    </w:p>
    <w:p w14:paraId="5DF5C8E2"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6 observations enregistrées</w:t>
      </w:r>
    </w:p>
    <w:p w14:paraId="39286D0E"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Niveau sonore moyen : -61,59 dB</w:t>
      </w:r>
    </w:p>
    <w:p w14:paraId="5EEC7B97"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Classification automatique : calm</w:t>
      </w:r>
    </w:p>
    <w:p w14:paraId="314E30F7"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1FB936CB" w14:textId="77777777" w:rsid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Les résultats obtenus sont cohérents avec le contexte d’une bibliothèque universitaire. Les mesures enregistrées démontrent une stabilité relative du niveau sonore et confirment le caractère calme du lieu observé.</w:t>
      </w:r>
    </w:p>
    <w:p w14:paraId="501EB07E" w14:textId="77777777"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p>
    <w:p w14:paraId="0DD6DC4B" w14:textId="6969BA72"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drawing>
          <wp:inline distT="0" distB="0" distL="0" distR="0" wp14:anchorId="1822A8AB" wp14:editId="2984D2F8">
            <wp:extent cx="5486400" cy="4944110"/>
            <wp:effectExtent l="0" t="0" r="0" b="0"/>
            <wp:docPr id="1518468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68210" name="Image 1518468210"/>
                    <pic:cNvPicPr/>
                  </pic:nvPicPr>
                  <pic:blipFill>
                    <a:blip r:embed="rId7">
                      <a:extLst>
                        <a:ext uri="{28A0092B-C50C-407E-A947-70E740481C1C}">
                          <a14:useLocalDpi xmlns:a14="http://schemas.microsoft.com/office/drawing/2010/main" val="0"/>
                        </a:ext>
                      </a:extLst>
                    </a:blip>
                    <a:stretch>
                      <a:fillRect/>
                    </a:stretch>
                  </pic:blipFill>
                  <pic:spPr>
                    <a:xfrm>
                      <a:off x="0" y="0"/>
                      <a:ext cx="5486400" cy="4944110"/>
                    </a:xfrm>
                    <a:prstGeom prst="rect">
                      <a:avLst/>
                    </a:prstGeom>
                  </pic:spPr>
                </pic:pic>
              </a:graphicData>
            </a:graphic>
          </wp:inline>
        </w:drawing>
      </w:r>
    </w:p>
    <w:p w14:paraId="23D5A8A8" w14:textId="3F47580D" w:rsidR="00FA63BE" w:rsidRPr="0033714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lastRenderedPageBreak/>
        <w:drawing>
          <wp:inline distT="0" distB="0" distL="0" distR="0" wp14:anchorId="4A1C3932" wp14:editId="4E3927D5">
            <wp:extent cx="4985247" cy="3967426"/>
            <wp:effectExtent l="0" t="0" r="0" b="0"/>
            <wp:docPr id="157339985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99859" name="Image 15733998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17637" cy="3993203"/>
                    </a:xfrm>
                    <a:prstGeom prst="rect">
                      <a:avLst/>
                    </a:prstGeom>
                  </pic:spPr>
                </pic:pic>
              </a:graphicData>
            </a:graphic>
          </wp:inline>
        </w:drawing>
      </w:r>
      <w:r>
        <w:rPr>
          <w:rFonts w:ascii="Times New Roman" w:eastAsia="Times New Roman" w:hAnsi="Times New Roman" w:cs="Times New Roman"/>
          <w:noProof/>
          <w:kern w:val="0"/>
          <w:lang w:eastAsia="fr-CA"/>
        </w:rPr>
        <w:drawing>
          <wp:inline distT="0" distB="0" distL="0" distR="0" wp14:anchorId="72D061E6" wp14:editId="1EE18F0A">
            <wp:extent cx="4581727" cy="3727956"/>
            <wp:effectExtent l="0" t="0" r="3175" b="6350"/>
            <wp:docPr id="17580014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1434" name="Image 17580014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97270" cy="3740603"/>
                    </a:xfrm>
                    <a:prstGeom prst="rect">
                      <a:avLst/>
                    </a:prstGeom>
                  </pic:spPr>
                </pic:pic>
              </a:graphicData>
            </a:graphic>
          </wp:inline>
        </w:drawing>
      </w:r>
    </w:p>
    <w:p w14:paraId="6112A0B7"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57D4E4CA">
          <v:rect id="_x0000_i1027" alt="" style="width:6in;height:.05pt;mso-width-percent:0;mso-height-percent:0;mso-width-percent:0;mso-height-percent:0" o:hralign="center" o:hrstd="t" o:hr="t" fillcolor="#a0a0a0" stroked="f"/>
        </w:pict>
      </w:r>
    </w:p>
    <w:p w14:paraId="7DE3CEF0" w14:textId="77777777" w:rsidR="009665CF" w:rsidRDefault="009665CF"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
    <w:p w14:paraId="22AC899D" w14:textId="0CED124D"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Collecte 2 – Meriem Ghaoui</w:t>
      </w:r>
    </w:p>
    <w:p w14:paraId="50280C8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2B763FC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7278DAB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216B147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23FBFFDB"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15932F0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4A7F06EA"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063918C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57782EA2"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0E76D91C">
          <v:rect id="_x0000_i1026" alt="" style="width:6in;height:.05pt;mso-width-percent:0;mso-height-percent:0;mso-width-percent:0;mso-height-percent:0" o:hralign="center" o:hrstd="t" o:hr="t" fillcolor="#a0a0a0" stroked="f"/>
        </w:pict>
      </w:r>
    </w:p>
    <w:p w14:paraId="38A1DA5D"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3 – Samah Tanisha Islam</w:t>
      </w:r>
    </w:p>
    <w:p w14:paraId="3442EFA3"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06F00F7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428F0EF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053F054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5DBA8148"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56FE971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7FF78227"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55491DD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710A6465" w14:textId="77777777" w:rsidR="0033714E" w:rsidRPr="0033714E" w:rsidRDefault="00553DA5" w:rsidP="0033714E">
      <w:pPr>
        <w:rPr>
          <w:rFonts w:ascii="Times New Roman" w:eastAsia="Times New Roman" w:hAnsi="Times New Roman" w:cs="Times New Roman"/>
          <w:kern w:val="0"/>
          <w:lang w:eastAsia="fr-CA"/>
          <w14:ligatures w14:val="none"/>
        </w:rPr>
      </w:pPr>
      <w:r w:rsidRPr="00553DA5">
        <w:rPr>
          <w:rFonts w:ascii="Times New Roman" w:eastAsia="Times New Roman" w:hAnsi="Times New Roman" w:cs="Times New Roman"/>
          <w:noProof/>
          <w:kern w:val="0"/>
          <w:lang w:eastAsia="fr-CA"/>
        </w:rPr>
        <w:pict w14:anchorId="2A069ABA">
          <v:rect id="_x0000_i1025" alt="" style="width:6in;height:.05pt;mso-width-percent:0;mso-height-percent:0;mso-width-percent:0;mso-height-percent:0" o:hralign="center" o:hrstd="t" o:hr="t" fillcolor="#a0a0a0" stroked="f"/>
        </w:pict>
      </w:r>
    </w:p>
    <w:p w14:paraId="36BA65BC"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7. Limites et évolution</w:t>
      </w:r>
    </w:p>
    <w:p w14:paraId="27DDBE7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Plusieurs limites ont été identifiées durant le développement.</w:t>
      </w:r>
    </w:p>
    <w:p w14:paraId="00E13EB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Premièrement, les données sont actuellement collectées à partir d’un nombre limité d’appareils, ce qui réduit la représentativité des résultats.</w:t>
      </w:r>
    </w:p>
    <w:p w14:paraId="5C2FB7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Deuxièmement, l’authentification par clé API reste relativement simple et pourrait être renforcée dans une version future.</w:t>
      </w:r>
    </w:p>
    <w:p w14:paraId="2DA4DB2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Troisièmement, la classification de l’ambiance repose uniquement sur des seuils fixes appliqués aux niveaux sonores. Une approche utilisant l’apprentissage automatique permettrait d’obtenir des classifications plus fines.</w:t>
      </w:r>
    </w:p>
    <w:p w14:paraId="287864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Enfin, nous pourrions ajouter une visualisation graphique des données, des statistiques en temps réel et un système d’alertes automatiques pour les environnements devenant anormalement bruyants.</w:t>
      </w:r>
    </w:p>
    <w:p w14:paraId="0E7780AB" w14:textId="77777777" w:rsidR="00BA38FE" w:rsidRDefault="00BA38FE"/>
    <w:sectPr w:rsidR="00BA38FE" w:rsidSect="009665CF">
      <w:pgSz w:w="12240" w:h="15840"/>
      <w:pgMar w:top="953" w:right="1800" w:bottom="1440" w:left="1800" w:header="708" w:footer="4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21065" w14:textId="77777777" w:rsidR="00553DA5" w:rsidRDefault="00553DA5" w:rsidP="009665CF">
      <w:r>
        <w:separator/>
      </w:r>
    </w:p>
  </w:endnote>
  <w:endnote w:type="continuationSeparator" w:id="0">
    <w:p w14:paraId="7C3F5893" w14:textId="77777777" w:rsidR="00553DA5" w:rsidRDefault="00553DA5" w:rsidP="00966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63149" w14:textId="77777777" w:rsidR="00553DA5" w:rsidRDefault="00553DA5" w:rsidP="009665CF">
      <w:r>
        <w:separator/>
      </w:r>
    </w:p>
  </w:footnote>
  <w:footnote w:type="continuationSeparator" w:id="0">
    <w:p w14:paraId="76781EF5" w14:textId="77777777" w:rsidR="00553DA5" w:rsidRDefault="00553DA5" w:rsidP="009665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877C7"/>
    <w:multiLevelType w:val="multilevel"/>
    <w:tmpl w:val="A044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4150E"/>
    <w:multiLevelType w:val="multilevel"/>
    <w:tmpl w:val="011AC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644DAF"/>
    <w:multiLevelType w:val="multilevel"/>
    <w:tmpl w:val="D06418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9B6399"/>
    <w:multiLevelType w:val="multilevel"/>
    <w:tmpl w:val="7AE6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B97788"/>
    <w:multiLevelType w:val="multilevel"/>
    <w:tmpl w:val="C75E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E762A9"/>
    <w:multiLevelType w:val="multilevel"/>
    <w:tmpl w:val="93CE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147B86"/>
    <w:multiLevelType w:val="multilevel"/>
    <w:tmpl w:val="343C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F612AE"/>
    <w:multiLevelType w:val="multilevel"/>
    <w:tmpl w:val="A0EE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404814">
    <w:abstractNumId w:val="7"/>
  </w:num>
  <w:num w:numId="2" w16cid:durableId="856500915">
    <w:abstractNumId w:val="6"/>
  </w:num>
  <w:num w:numId="3" w16cid:durableId="2074042818">
    <w:abstractNumId w:val="5"/>
  </w:num>
  <w:num w:numId="4" w16cid:durableId="1067000761">
    <w:abstractNumId w:val="1"/>
  </w:num>
  <w:num w:numId="5" w16cid:durableId="1313679647">
    <w:abstractNumId w:val="2"/>
  </w:num>
  <w:num w:numId="6" w16cid:durableId="1357538544">
    <w:abstractNumId w:val="4"/>
  </w:num>
  <w:num w:numId="7" w16cid:durableId="634606418">
    <w:abstractNumId w:val="0"/>
  </w:num>
  <w:num w:numId="8" w16cid:durableId="18053504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4E"/>
    <w:rsid w:val="002C7088"/>
    <w:rsid w:val="0033714E"/>
    <w:rsid w:val="00553DA5"/>
    <w:rsid w:val="009665CF"/>
    <w:rsid w:val="00A461D0"/>
    <w:rsid w:val="00BA38FE"/>
    <w:rsid w:val="00FA63BE"/>
    <w:rsid w:val="00FF2D2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6970B"/>
  <w15:chartTrackingRefBased/>
  <w15:docId w15:val="{8CB5DC9A-838E-A043-8F91-86AC71283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37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7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3714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714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714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714E"/>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714E"/>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714E"/>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714E"/>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714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714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3714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714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714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714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714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714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714E"/>
    <w:rPr>
      <w:rFonts w:eastAsiaTheme="majorEastAsia" w:cstheme="majorBidi"/>
      <w:color w:val="272727" w:themeColor="text1" w:themeTint="D8"/>
    </w:rPr>
  </w:style>
  <w:style w:type="paragraph" w:styleId="Titre">
    <w:name w:val="Title"/>
    <w:basedOn w:val="Normal"/>
    <w:next w:val="Normal"/>
    <w:link w:val="TitreCar"/>
    <w:uiPriority w:val="10"/>
    <w:qFormat/>
    <w:rsid w:val="0033714E"/>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714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714E"/>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714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714E"/>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33714E"/>
    <w:rPr>
      <w:i/>
      <w:iCs/>
      <w:color w:val="404040" w:themeColor="text1" w:themeTint="BF"/>
    </w:rPr>
  </w:style>
  <w:style w:type="paragraph" w:styleId="Paragraphedeliste">
    <w:name w:val="List Paragraph"/>
    <w:basedOn w:val="Normal"/>
    <w:uiPriority w:val="34"/>
    <w:qFormat/>
    <w:rsid w:val="0033714E"/>
    <w:pPr>
      <w:ind w:left="720"/>
      <w:contextualSpacing/>
    </w:pPr>
  </w:style>
  <w:style w:type="character" w:styleId="Accentuationintense">
    <w:name w:val="Intense Emphasis"/>
    <w:basedOn w:val="Policepardfaut"/>
    <w:uiPriority w:val="21"/>
    <w:qFormat/>
    <w:rsid w:val="0033714E"/>
    <w:rPr>
      <w:i/>
      <w:iCs/>
      <w:color w:val="0F4761" w:themeColor="accent1" w:themeShade="BF"/>
    </w:rPr>
  </w:style>
  <w:style w:type="paragraph" w:styleId="Citationintense">
    <w:name w:val="Intense Quote"/>
    <w:basedOn w:val="Normal"/>
    <w:next w:val="Normal"/>
    <w:link w:val="CitationintenseCar"/>
    <w:uiPriority w:val="30"/>
    <w:qFormat/>
    <w:rsid w:val="0033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714E"/>
    <w:rPr>
      <w:i/>
      <w:iCs/>
      <w:color w:val="0F4761" w:themeColor="accent1" w:themeShade="BF"/>
    </w:rPr>
  </w:style>
  <w:style w:type="character" w:styleId="Rfrenceintense">
    <w:name w:val="Intense Reference"/>
    <w:basedOn w:val="Policepardfaut"/>
    <w:uiPriority w:val="32"/>
    <w:qFormat/>
    <w:rsid w:val="0033714E"/>
    <w:rPr>
      <w:b/>
      <w:bCs/>
      <w:smallCaps/>
      <w:color w:val="0F4761" w:themeColor="accent1" w:themeShade="BF"/>
      <w:spacing w:val="5"/>
    </w:rPr>
  </w:style>
  <w:style w:type="paragraph" w:styleId="NormalWeb">
    <w:name w:val="Normal (Web)"/>
    <w:basedOn w:val="Normal"/>
    <w:uiPriority w:val="99"/>
    <w:semiHidden/>
    <w:unhideWhenUsed/>
    <w:rsid w:val="0033714E"/>
    <w:pPr>
      <w:spacing w:before="100" w:beforeAutospacing="1" w:after="100" w:afterAutospacing="1"/>
    </w:pPr>
    <w:rPr>
      <w:rFonts w:ascii="Times New Roman" w:eastAsia="Times New Roman" w:hAnsi="Times New Roman" w:cs="Times New Roman"/>
      <w:kern w:val="0"/>
      <w:lang w:eastAsia="fr-CA"/>
      <w14:ligatures w14:val="none"/>
    </w:rPr>
  </w:style>
  <w:style w:type="character" w:styleId="lev">
    <w:name w:val="Strong"/>
    <w:basedOn w:val="Policepardfaut"/>
    <w:uiPriority w:val="22"/>
    <w:qFormat/>
    <w:rsid w:val="0033714E"/>
    <w:rPr>
      <w:b/>
      <w:bCs/>
    </w:rPr>
  </w:style>
  <w:style w:type="paragraph" w:styleId="En-tte">
    <w:name w:val="header"/>
    <w:basedOn w:val="Normal"/>
    <w:link w:val="En-tteCar"/>
    <w:uiPriority w:val="99"/>
    <w:unhideWhenUsed/>
    <w:rsid w:val="009665CF"/>
    <w:pPr>
      <w:tabs>
        <w:tab w:val="center" w:pos="4320"/>
        <w:tab w:val="right" w:pos="8640"/>
      </w:tabs>
    </w:pPr>
  </w:style>
  <w:style w:type="character" w:customStyle="1" w:styleId="En-tteCar">
    <w:name w:val="En-tête Car"/>
    <w:basedOn w:val="Policepardfaut"/>
    <w:link w:val="En-tte"/>
    <w:uiPriority w:val="99"/>
    <w:rsid w:val="009665CF"/>
  </w:style>
  <w:style w:type="paragraph" w:styleId="Pieddepage">
    <w:name w:val="footer"/>
    <w:basedOn w:val="Normal"/>
    <w:link w:val="PieddepageCar"/>
    <w:uiPriority w:val="99"/>
    <w:unhideWhenUsed/>
    <w:rsid w:val="009665CF"/>
    <w:pPr>
      <w:tabs>
        <w:tab w:val="center" w:pos="4320"/>
        <w:tab w:val="right" w:pos="8640"/>
      </w:tabs>
    </w:pPr>
  </w:style>
  <w:style w:type="character" w:customStyle="1" w:styleId="PieddepageCar">
    <w:name w:val="Pied de page Car"/>
    <w:basedOn w:val="Policepardfaut"/>
    <w:link w:val="Pieddepage"/>
    <w:uiPriority w:val="99"/>
    <w:rsid w:val="009665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10</Pages>
  <Words>1109</Words>
  <Characters>6101</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Reine Guinguiere</dc:creator>
  <cp:keywords/>
  <dc:description/>
  <cp:lastModifiedBy>Reine Guinguiere</cp:lastModifiedBy>
  <cp:revision>1</cp:revision>
  <dcterms:created xsi:type="dcterms:W3CDTF">2026-06-15T23:40:00Z</dcterms:created>
  <dcterms:modified xsi:type="dcterms:W3CDTF">2026-06-16T00:03:00Z</dcterms:modified>
</cp:coreProperties>
</file>