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40" w:line="240" w:lineRule="auto"/>
        <w:jc w:val="left"/>
      </w:pPr>
      <w:r>
        <w:rPr>
          <w:rFonts w:ascii="Calibri" w:hAnsi="Calibri"/>
          <w:b/>
          <w:color w:val="2E74B5"/>
          <w:sz w:val="20"/>
        </w:rPr>
        <w:t>AUDIT-1 | REVISION DOCUMENTAL PRELIMINAR</w:t>
      </w:r>
    </w:p>
    <w:p>
      <w:pPr>
        <w:keepNext w:val="0"/>
        <w:keepLines w:val="0"/>
        <w:spacing w:before="0" w:after="80" w:line="240" w:lineRule="auto"/>
        <w:jc w:val="left"/>
      </w:pPr>
      <w:r>
        <w:rPr>
          <w:rFonts w:ascii="Calibri" w:hAnsi="Calibri"/>
          <w:b/>
          <w:color w:val="1F4D78"/>
          <w:sz w:val="52"/>
        </w:rPr>
        <w:t>Consultorio Digital SaaS</w:t>
      </w:r>
    </w:p>
    <w:p>
      <w:pPr>
        <w:keepNext w:val="0"/>
        <w:keepLines w:val="0"/>
        <w:spacing w:before="0" w:after="200" w:line="252" w:lineRule="auto"/>
        <w:jc w:val="left"/>
      </w:pPr>
      <w:r>
        <w:rPr>
          <w:rFonts w:ascii="Calibri" w:hAnsi="Calibri"/>
          <w:color w:val="555555"/>
          <w:sz w:val="26"/>
        </w:rPr>
        <w:t>Evaluacion documental del MVP publicado en Vercel y del material tecnico ACT-5-Equipo5</w:t>
      </w:r>
    </w:p>
    <w:p>
      <w:pPr>
        <w:keepNext w:val="0"/>
        <w:keepLines w:val="0"/>
        <w:spacing w:before="0" w:after="200" w:line="259" w:lineRule="auto"/>
        <w:jc w:val="left"/>
      </w:pPr>
      <w:r>
        <w:rPr>
          <w:rFonts w:ascii="Calibri" w:hAnsi="Calibri"/>
          <w:color w:val="1F2937"/>
          <w:sz w:val="22"/>
        </w:rPr>
        <w:t>Este reporte resume la lectura tecnica del proyecto y documenta una validacion preliminar. No se inventaron pruebas vivas: el entorno no permitio acceso al sitio publico, por lo que el dictamen se apoya en la documentacion tecnica disponible.</w:t>
      </w:r>
    </w:p>
    <w:tbl>
      <w:tblPr>
        <w:tblStyle w:val="TableGrid"/>
        <w:tblW w:type="dxa" w:w="9360"/>
        <w:jc w:val="left"/>
        <w:tblLayout w:type="fixed"/>
        <w:tblLook w:firstColumn="1" w:firstRow="1" w:lastColumn="0" w:lastRow="0" w:noHBand="0" w:noVBand="1" w:val="04A0"/>
        <w:tblInd w:type="dxa" w:w="120"/>
      </w:tblPr>
      <w:tblGrid>
        <w:gridCol w:w="2448"/>
        <w:gridCol w:w="6912"/>
      </w:tblGrid>
      <w:tr>
        <w:trPr/>
        <w:tc>
          <w:tcPr>
            <w:tcW w:type="dxa" w:w="2448"/>
            <w:vAlign w:val="center"/>
            <w:shd w:fill="E8EEF5"/>
            <w:tcMar>
              <w:top w:w="80" w:type="dxa"/>
              <w:bottom w:w="80" w:type="dxa"/>
              <w:start w:w="120" w:type="dxa"/>
              <w:end w:w="120" w:type="dxa"/>
            </w:tcMar>
          </w:tcPr>
          <w:p>
            <w:pPr>
              <w:spacing w:before="0" w:after="0" w:line="240" w:lineRule="auto"/>
              <w:jc w:val="left"/>
            </w:pPr>
            <w:r/>
            <w:r>
              <w:rPr>
                <w:rFonts w:ascii="Calibri" w:hAnsi="Calibri"/>
                <w:b/>
                <w:color w:val="1F4D78"/>
                <w:sz w:val="20"/>
              </w:rPr>
              <w:t>Link evaluado</w:t>
            </w:r>
          </w:p>
        </w:tc>
        <w:tc>
          <w:tcPr>
            <w:tcW w:type="dxa" w:w="6912"/>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20"/>
              </w:rPr>
              <w:t>https://consultorio-digital-saas.vercel.app/</w:t>
            </w:r>
          </w:p>
        </w:tc>
      </w:tr>
      <w:tr>
        <w:trPr/>
        <w:tc>
          <w:tcPr>
            <w:tcW w:type="dxa" w:w="2448"/>
            <w:vAlign w:val="center"/>
            <w:shd w:fill="E8EEF5"/>
            <w:tcMar>
              <w:top w:w="80" w:type="dxa"/>
              <w:bottom w:w="80" w:type="dxa"/>
              <w:start w:w="120" w:type="dxa"/>
              <w:end w:w="120" w:type="dxa"/>
            </w:tcMar>
          </w:tcPr>
          <w:p>
            <w:pPr>
              <w:spacing w:before="0" w:after="0" w:line="240" w:lineRule="auto"/>
              <w:jc w:val="left"/>
            </w:pPr>
            <w:r/>
            <w:r>
              <w:rPr>
                <w:rFonts w:ascii="Calibri" w:hAnsi="Calibri"/>
                <w:b/>
                <w:color w:val="1F4D78"/>
                <w:sz w:val="20"/>
              </w:rPr>
              <w:t>Repositorio</w:t>
            </w:r>
          </w:p>
        </w:tc>
        <w:tc>
          <w:tcPr>
            <w:tcW w:type="dxa" w:w="6912"/>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20"/>
              </w:rPr>
              <w:t>https://github.com/SoyAri/consultorio-digital</w:t>
            </w:r>
          </w:p>
        </w:tc>
      </w:tr>
      <w:tr>
        <w:trPr/>
        <w:tc>
          <w:tcPr>
            <w:tcW w:type="dxa" w:w="2448"/>
            <w:vAlign w:val="center"/>
            <w:shd w:fill="E8EEF5"/>
            <w:tcMar>
              <w:top w:w="80" w:type="dxa"/>
              <w:bottom w:w="80" w:type="dxa"/>
              <w:start w:w="120" w:type="dxa"/>
              <w:end w:w="120" w:type="dxa"/>
            </w:tcMar>
          </w:tcPr>
          <w:p>
            <w:pPr>
              <w:spacing w:before="0" w:after="0" w:line="240" w:lineRule="auto"/>
              <w:jc w:val="left"/>
            </w:pPr>
            <w:r/>
            <w:r>
              <w:rPr>
                <w:rFonts w:ascii="Calibri" w:hAnsi="Calibri"/>
                <w:b/>
                <w:color w:val="1F4D78"/>
                <w:sz w:val="20"/>
              </w:rPr>
              <w:t>Documento base</w:t>
            </w:r>
          </w:p>
        </w:tc>
        <w:tc>
          <w:tcPr>
            <w:tcW w:type="dxa" w:w="6912"/>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20"/>
              </w:rPr>
              <w:t>C:\Users\SAM\Downloads\ACT-5-Equipo5.pdf</w:t>
            </w:r>
          </w:p>
        </w:tc>
      </w:tr>
      <w:tr>
        <w:trPr/>
        <w:tc>
          <w:tcPr>
            <w:tcW w:type="dxa" w:w="2448"/>
            <w:vAlign w:val="center"/>
            <w:shd w:fill="E8EEF5"/>
            <w:tcMar>
              <w:top w:w="80" w:type="dxa"/>
              <w:bottom w:w="80" w:type="dxa"/>
              <w:start w:w="120" w:type="dxa"/>
              <w:end w:w="120" w:type="dxa"/>
            </w:tcMar>
          </w:tcPr>
          <w:p>
            <w:pPr>
              <w:spacing w:before="0" w:after="0" w:line="240" w:lineRule="auto"/>
              <w:jc w:val="left"/>
            </w:pPr>
            <w:r/>
            <w:r>
              <w:rPr>
                <w:rFonts w:ascii="Calibri" w:hAnsi="Calibri"/>
                <w:b/>
                <w:color w:val="1F4D78"/>
                <w:sz w:val="20"/>
              </w:rPr>
              <w:t>Estado</w:t>
            </w:r>
          </w:p>
        </w:tc>
        <w:tc>
          <w:tcPr>
            <w:tcW w:type="dxa" w:w="6912"/>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20"/>
              </w:rPr>
              <w:t>Revision documental preliminar, sin validacion viva</w:t>
            </w:r>
          </w:p>
        </w:tc>
      </w:tr>
      <w:tr>
        <w:trPr/>
        <w:tc>
          <w:tcPr>
            <w:tcW w:type="dxa" w:w="2448"/>
            <w:vAlign w:val="center"/>
            <w:shd w:fill="E8EEF5"/>
            <w:tcMar>
              <w:top w:w="80" w:type="dxa"/>
              <w:bottom w:w="80" w:type="dxa"/>
              <w:start w:w="120" w:type="dxa"/>
              <w:end w:w="120" w:type="dxa"/>
            </w:tcMar>
          </w:tcPr>
          <w:p>
            <w:pPr>
              <w:spacing w:before="0" w:after="0" w:line="240" w:lineRule="auto"/>
              <w:jc w:val="left"/>
            </w:pPr>
            <w:r/>
            <w:r>
              <w:rPr>
                <w:rFonts w:ascii="Calibri" w:hAnsi="Calibri"/>
                <w:b/>
                <w:color w:val="1F4D78"/>
                <w:sz w:val="20"/>
              </w:rPr>
              <w:t>Fecha</w:t>
            </w:r>
          </w:p>
        </w:tc>
        <w:tc>
          <w:tcPr>
            <w:tcW w:type="dxa" w:w="6912"/>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20"/>
              </w:rPr>
              <w:t>18 de junio de 2026</w:t>
            </w:r>
          </w:p>
        </w:tc>
      </w:tr>
    </w:tbl>
    <w:p>
      <w:pPr>
        <w:keepNext w:val="0"/>
        <w:keepLines w:val="0"/>
        <w:spacing w:before="80" w:after="160" w:line="252" w:lineRule="auto"/>
        <w:ind w:left="72" w:right="72"/>
        <w:jc w:val="left"/>
        <w:shd w:fill="F8FAFC"/>
      </w:pPr>
      <w:r>
        <w:rPr>
          <w:rFonts w:ascii="Calibri" w:hAnsi="Calibri"/>
          <w:b/>
          <w:color w:val="1F2937"/>
          <w:sz w:val="21"/>
        </w:rPr>
        <w:t xml:space="preserve">Alcance: </w:t>
      </w:r>
      <w:r>
        <w:rPr>
          <w:rFonts w:ascii="Calibri" w:hAnsi="Calibri"/>
          <w:color w:val="1F2937"/>
          <w:sz w:val="21"/>
        </w:rPr>
        <w:t>se revisaron el proposito del producto, su arquitectura, el plan de pruebas, la seguridad y los flujos de negocio descritos. El anexo visual contiene capturas del documento tecnico base para dejar trazabilidad del analisis.</w:t>
      </w:r>
    </w:p>
    <w:p>
      <w:r>
        <w:br w:type="page"/>
      </w:r>
    </w:p>
    <w:p>
      <w:pPr>
        <w:pStyle w:val="Heading1"/>
        <w:jc w:val="left"/>
      </w:pPr>
      <w:r>
        <w:t>1. Resumen ejecutivo</w:t>
      </w:r>
    </w:p>
    <w:p>
      <w:pPr>
        <w:keepNext w:val="0"/>
        <w:keepLines w:val="0"/>
        <w:spacing w:before="0" w:after="160" w:line="259" w:lineRule="auto"/>
        <w:jc w:val="left"/>
      </w:pPr>
      <w:r>
        <w:rPr>
          <w:rFonts w:ascii="Calibri" w:hAnsi="Calibri"/>
          <w:color w:val="1F2937"/>
          <w:sz w:val="22"/>
        </w:rPr>
        <w:t>Consultorio Digital se describe como un SaaS para consultas medicas con tres perfiles principales: secretaria/admin, doctor y paciente. La documentacion muestra un MVP con logica realista: landing publica, acceso diferenciado por rol, OTP para pacientes, dashboard privado, citas, historiales, seguridad por tokens y control de acceso por reglas de negocio.</w:t>
      </w:r>
    </w:p>
    <w:p>
      <w:pPr>
        <w:keepNext w:val="0"/>
        <w:keepLines w:val="0"/>
        <w:spacing w:before="0" w:after="160" w:line="259" w:lineRule="auto"/>
        <w:jc w:val="left"/>
      </w:pPr>
      <w:r>
        <w:rPr>
          <w:rFonts w:ascii="Calibri" w:hAnsi="Calibri"/>
          <w:color w:val="1F2937"/>
          <w:sz w:val="22"/>
        </w:rPr>
        <w:t>Desde la optica QA, el material no se ve como una maqueta superficial. Hay coherencia entre frontend, backend, base de datos, seguridad y plan de pruebas. El unico limite de esta entrega es metodologico: el dominio publico no fue accesible desde este entorno, asi que la validacion no puede marcarse como viva.</w:t>
      </w:r>
    </w:p>
    <w:tbl>
      <w:tblPr>
        <w:tblStyle w:val="TableGrid"/>
        <w:tblW w:type="dxa" w:w="9360"/>
        <w:jc w:val="left"/>
        <w:tblLayout w:type="fixed"/>
        <w:tblLook w:firstColumn="1" w:firstRow="1" w:lastColumn="0" w:lastRow="0" w:noHBand="0" w:noVBand="1" w:val="04A0"/>
        <w:tblInd w:type="dxa" w:w="120"/>
      </w:tblPr>
      <w:tblGrid>
        <w:gridCol w:w="2304"/>
        <w:gridCol w:w="2880"/>
        <w:gridCol w:w="4176"/>
      </w:tblGrid>
      <w:tr>
        <w:trPr/>
        <w:tc>
          <w:tcPr>
            <w:tcW w:type="dxa" w:w="2304"/>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Elemento</w:t>
            </w:r>
          </w:p>
        </w:tc>
        <w:tc>
          <w:tcPr>
            <w:tcW w:type="dxa" w:w="2880"/>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Descripcion</w:t>
            </w:r>
          </w:p>
        </w:tc>
        <w:tc>
          <w:tcPr>
            <w:tcW w:type="dxa" w:w="4176"/>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Lectura QA</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Producto</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SaaS para consultorio/clínica</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Se entiende con rapidez.</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Usuarios</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Secretaria, doctor y paciente</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Roles bien definidos.</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Canal publico</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Landing + login de acceso</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Entrada simple y clara.</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Canal privado</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Dashboard por rol</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Arquitectura coherente.</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Autenticacion</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JWT + refresh token + OTP</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Flujo serio y realista.</w:t>
            </w:r>
          </w:p>
        </w:tc>
      </w:tr>
      <w:tr>
        <w:trPr/>
        <w:tc>
          <w:tcPr>
            <w:tcW w:type="dxa" w:w="2304"/>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Backend</w:t>
            </w:r>
          </w:p>
        </w:tc>
        <w:tc>
          <w:tcPr>
            <w:tcW w:type="dxa" w:w="288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Supabase + Edge Functions</w:t>
            </w:r>
          </w:p>
        </w:tc>
        <w:tc>
          <w:tcPr>
            <w:tcW w:type="dxa" w:w="4176"/>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Reduce simulacion superficial.</w:t>
            </w:r>
          </w:p>
        </w:tc>
      </w:tr>
    </w:tbl>
    <w:p>
      <w:r>
        <w:br w:type="page"/>
      </w:r>
    </w:p>
    <w:p>
      <w:pPr>
        <w:pStyle w:val="Heading1"/>
        <w:jc w:val="left"/>
      </w:pPr>
      <w:r>
        <w:t>2. Metodologia y alcance</w:t>
      </w:r>
    </w:p>
    <w:p>
      <w:pPr>
        <w:keepNext w:val="0"/>
        <w:keepLines w:val="0"/>
        <w:spacing w:before="0" w:after="160" w:line="259" w:lineRule="auto"/>
        <w:jc w:val="left"/>
      </w:pPr>
      <w:r>
        <w:rPr>
          <w:rFonts w:ascii="Calibri" w:hAnsi="Calibri"/>
          <w:color w:val="1F2937"/>
          <w:sz w:val="22"/>
        </w:rPr>
        <w:t>La revision se hizo como auditoria documental preliminar. Se analizaron las paginas 1 a 16 del PDF de arquitectura para reconstruir la propuesta de valor, los flujos de usuario y los controles tecnicos planeados.</w:t>
      </w:r>
    </w:p>
    <w:p>
      <w:pPr>
        <w:pStyle w:val="ListBullet"/>
        <w:keepNext w:val="0"/>
        <w:keepLines w:val="0"/>
        <w:spacing w:before="0" w:after="80" w:line="259" w:lineRule="auto"/>
        <w:jc w:val="left"/>
      </w:pPr>
      <w:r>
        <w:rPr>
          <w:rFonts w:ascii="Calibri" w:hAnsi="Calibri"/>
          <w:color w:val="1F2937"/>
          <w:sz w:val="21"/>
        </w:rPr>
        <w:t>Visión general, público objetivo y módulos principales.</w:t>
      </w:r>
    </w:p>
    <w:p>
      <w:pPr>
        <w:pStyle w:val="ListBullet"/>
        <w:keepNext w:val="0"/>
        <w:keepLines w:val="0"/>
        <w:spacing w:before="0" w:after="80" w:line="259" w:lineRule="auto"/>
        <w:jc w:val="left"/>
      </w:pPr>
      <w:r>
        <w:rPr>
          <w:rFonts w:ascii="Calibri" w:hAnsi="Calibri"/>
          <w:color w:val="1F2937"/>
          <w:sz w:val="21"/>
        </w:rPr>
        <w:t>Stack tecnologico y justificacion (Angular, Supabase, PostgreSQL, Vercel/Netlify, JWT y RBAC/ABAC).</w:t>
      </w:r>
    </w:p>
    <w:p>
      <w:pPr>
        <w:pStyle w:val="ListBullet"/>
        <w:keepNext w:val="0"/>
        <w:keepLines w:val="0"/>
        <w:spacing w:before="0" w:after="80" w:line="259" w:lineRule="auto"/>
        <w:jc w:val="left"/>
      </w:pPr>
      <w:r>
        <w:rPr>
          <w:rFonts w:ascii="Calibri" w:hAnsi="Calibri"/>
          <w:color w:val="1F2937"/>
          <w:sz w:val="21"/>
        </w:rPr>
        <w:t>Modelo de datos, autenticacion y gestion de sesion.</w:t>
      </w:r>
    </w:p>
    <w:p>
      <w:pPr>
        <w:pStyle w:val="ListBullet"/>
        <w:keepNext w:val="0"/>
        <w:keepLines w:val="0"/>
        <w:spacing w:before="0" w:after="80" w:line="259" w:lineRule="auto"/>
        <w:jc w:val="left"/>
      </w:pPr>
      <w:r>
        <w:rPr>
          <w:rFonts w:ascii="Calibri" w:hAnsi="Calibri"/>
          <w:color w:val="1F2937"/>
          <w:sz w:val="21"/>
        </w:rPr>
        <w:t>Seguridad, infraestructura, flujo del sistema y plan de pruebas.</w:t>
      </w:r>
    </w:p>
    <w:tbl>
      <w:tblPr>
        <w:tblStyle w:val="TableGrid"/>
        <w:tblW w:type="dxa" w:w="9360"/>
        <w:jc w:val="left"/>
        <w:tblLayout w:type="fixed"/>
        <w:tblLook w:firstColumn="1" w:firstRow="1" w:lastColumn="0" w:lastRow="0" w:noHBand="0" w:noVBand="1" w:val="04A0"/>
        <w:tblInd w:type="dxa" w:w="120"/>
      </w:tblPr>
      <w:tblGrid>
        <w:gridCol w:w="2269"/>
        <w:gridCol w:w="1702"/>
        <w:gridCol w:w="5389"/>
      </w:tblGrid>
      <w:tr>
        <w:trPr/>
        <w:tc>
          <w:tcPr>
            <w:tcW w:type="dxa" w:w="2269"/>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Criterio</w:t>
            </w:r>
          </w:p>
        </w:tc>
        <w:tc>
          <w:tcPr>
            <w:tcW w:type="dxa" w:w="1702"/>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Resultado preliminar</w:t>
            </w:r>
          </w:p>
        </w:tc>
        <w:tc>
          <w:tcPr>
            <w:tcW w:type="dxa" w:w="5389"/>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Sustento</w:t>
            </w:r>
          </w:p>
        </w:tc>
      </w:tr>
      <w:tr>
        <w:trPr/>
        <w:tc>
          <w:tcPr>
            <w:tcW w:type="dxa" w:w="226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Se entiende</w:t>
            </w:r>
          </w:p>
        </w:tc>
        <w:tc>
          <w:tcPr>
            <w:tcW w:type="dxa" w:w="1702"/>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Si</w:t>
            </w:r>
          </w:p>
        </w:tc>
        <w:tc>
          <w:tcPr>
            <w:tcW w:type="dxa" w:w="538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La documentacion explica roles, flujos, seguridad e infraestructura.</w:t>
            </w:r>
          </w:p>
        </w:tc>
      </w:tr>
      <w:tr>
        <w:trPr/>
        <w:tc>
          <w:tcPr>
            <w:tcW w:type="dxa" w:w="226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Flujo principal documentado</w:t>
            </w:r>
          </w:p>
        </w:tc>
        <w:tc>
          <w:tcPr>
            <w:tcW w:type="dxa" w:w="1702"/>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Si</w:t>
            </w:r>
          </w:p>
        </w:tc>
        <w:tc>
          <w:tcPr>
            <w:tcW w:type="dxa" w:w="538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OTP, citas, consulta y refresh token estan descritos de extremo a extremo.</w:t>
            </w:r>
          </w:p>
        </w:tc>
      </w:tr>
      <w:tr>
        <w:trPr/>
        <w:tc>
          <w:tcPr>
            <w:tcW w:type="dxa" w:w="226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Evidencia de no simulacion</w:t>
            </w:r>
          </w:p>
        </w:tc>
        <w:tc>
          <w:tcPr>
            <w:tcW w:type="dxa" w:w="1702"/>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Si</w:t>
            </w:r>
          </w:p>
        </w:tc>
        <w:tc>
          <w:tcPr>
            <w:tcW w:type="dxa" w:w="538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Supabase, Edge Functions, RLS y ABAC apuntan a logica real de backend.</w:t>
            </w:r>
          </w:p>
        </w:tc>
      </w:tr>
      <w:tr>
        <w:trPr/>
        <w:tc>
          <w:tcPr>
            <w:tcW w:type="dxa" w:w="226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Validacion viva en este entorno</w:t>
            </w:r>
          </w:p>
        </w:tc>
        <w:tc>
          <w:tcPr>
            <w:tcW w:type="dxa" w:w="1702"/>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9"/>
              </w:rPr>
              <w:t>No disponible</w:t>
            </w:r>
          </w:p>
        </w:tc>
        <w:tc>
          <w:tcPr>
            <w:tcW w:type="dxa" w:w="5389"/>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El dominio no respondio desde el entorno de trabajo; no se inventaron resultados.</w:t>
            </w:r>
          </w:p>
        </w:tc>
      </w:tr>
    </w:tbl>
    <w:p>
      <w:pPr>
        <w:keepNext w:val="0"/>
        <w:keepLines w:val="0"/>
        <w:spacing w:before="80" w:after="160" w:line="252" w:lineRule="auto"/>
        <w:ind w:left="72" w:right="72"/>
        <w:jc w:val="left"/>
        <w:shd w:fill="F8FAFC"/>
      </w:pPr>
      <w:r>
        <w:rPr>
          <w:rFonts w:ascii="Calibri" w:hAnsi="Calibri"/>
          <w:b/>
          <w:color w:val="1F2937"/>
          <w:sz w:val="21"/>
        </w:rPr>
        <w:t xml:space="preserve">Lectura QA: </w:t>
      </w:r>
      <w:r>
        <w:rPr>
          <w:rFonts w:ascii="Calibri" w:hAnsi="Calibri"/>
          <w:color w:val="1F2937"/>
          <w:sz w:val="21"/>
        </w:rPr>
        <w:t>el producto tiene una narrativa clara y suficiente detalle tecnico para sustentar un MVP serio. La validacion de produccion o staging queda pendiente de acceso vivo y evidencia directa del sitio.</w:t>
      </w:r>
    </w:p>
    <w:p>
      <w:r>
        <w:br w:type="page"/>
      </w:r>
    </w:p>
    <w:p>
      <w:pPr>
        <w:pStyle w:val="Heading1"/>
        <w:jc w:val="left"/>
      </w:pPr>
      <w:r>
        <w:t>3. Lectura tecnica del MVP</w:t>
      </w:r>
    </w:p>
    <w:p>
      <w:pPr>
        <w:keepNext w:val="0"/>
        <w:keepLines w:val="0"/>
        <w:spacing w:before="0" w:after="160" w:line="259" w:lineRule="auto"/>
        <w:jc w:val="left"/>
      </w:pPr>
      <w:r>
        <w:rPr>
          <w:rFonts w:ascii="Calibri" w:hAnsi="Calibri"/>
          <w:b/>
          <w:color w:val="1F2937"/>
          <w:sz w:val="22"/>
        </w:rPr>
        <w:t>Arquitectura observada en la documentacion:</w:t>
      </w:r>
    </w:p>
    <w:tbl>
      <w:tblPr>
        <w:tblStyle w:val="TableGrid"/>
        <w:tblW w:type="dxa" w:w="9360"/>
        <w:jc w:val="left"/>
        <w:tblLayout w:type="fixed"/>
        <w:tblLook w:firstColumn="1" w:firstRow="1" w:lastColumn="0" w:lastRow="0" w:noHBand="0" w:noVBand="1" w:val="04A0"/>
        <w:tblInd w:type="dxa" w:w="120"/>
      </w:tblPr>
      <w:tblGrid>
        <w:gridCol w:w="2122"/>
        <w:gridCol w:w="7238"/>
      </w:tblGrid>
      <w:tr>
        <w:trPr/>
        <w:tc>
          <w:tcPr>
            <w:tcW w:type="dxa" w:w="2122"/>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Componente</w:t>
            </w:r>
          </w:p>
        </w:tc>
        <w:tc>
          <w:tcPr>
            <w:tcW w:type="dxa" w:w="7238"/>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20"/>
              </w:rPr>
              <w:t>Lectura tecnica</w:t>
            </w:r>
          </w:p>
        </w:tc>
      </w:tr>
      <w:tr>
        <w:trPr/>
        <w:tc>
          <w:tcPr>
            <w:tcW w:type="dxa" w:w="2122"/>
            <w:vAlign w:val="center"/>
            <w:tcMar>
              <w:top w:w="80" w:type="dxa"/>
              <w:bottom w:w="80" w:type="dxa"/>
              <w:start w:w="120" w:type="dxa"/>
              <w:end w:w="120" w:type="dxa"/>
            </w:tcMar>
          </w:tcPr>
          <w:p>
            <w:pPr>
              <w:spacing w:before="0" w:after="0" w:line="240" w:lineRule="auto"/>
              <w:jc w:val="left"/>
            </w:pPr>
            <w:r/>
            <w:r>
              <w:rPr>
                <w:rFonts w:ascii="Calibri" w:hAnsi="Calibri"/>
                <w:b/>
                <w:color w:val="1F2937"/>
                <w:sz w:val="19"/>
              </w:rPr>
              <w:t>Presentacion</w:t>
            </w:r>
          </w:p>
        </w:tc>
        <w:tc>
          <w:tcPr>
            <w:tcW w:type="dxa" w:w="7238"/>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Angular 21 como SPA con modulos lazy-loaded y rutas separadas por rol.</w:t>
            </w:r>
          </w:p>
        </w:tc>
      </w:tr>
      <w:tr>
        <w:trPr/>
        <w:tc>
          <w:tcPr>
            <w:tcW w:type="dxa" w:w="2122"/>
            <w:vAlign w:val="center"/>
            <w:tcMar>
              <w:top w:w="80" w:type="dxa"/>
              <w:bottom w:w="80" w:type="dxa"/>
              <w:start w:w="120" w:type="dxa"/>
              <w:end w:w="120" w:type="dxa"/>
            </w:tcMar>
          </w:tcPr>
          <w:p>
            <w:pPr>
              <w:spacing w:before="0" w:after="0" w:line="240" w:lineRule="auto"/>
              <w:jc w:val="left"/>
            </w:pPr>
            <w:r/>
            <w:r>
              <w:rPr>
                <w:rFonts w:ascii="Calibri" w:hAnsi="Calibri"/>
                <w:b/>
                <w:color w:val="1F2937"/>
                <w:sz w:val="19"/>
              </w:rPr>
              <w:t>Lógica</w:t>
            </w:r>
          </w:p>
        </w:tc>
        <w:tc>
          <w:tcPr>
            <w:tcW w:type="dxa" w:w="7238"/>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Supabase con Edge Functions para OTP, refresh token, citas y notificaciones.</w:t>
            </w:r>
          </w:p>
        </w:tc>
      </w:tr>
      <w:tr>
        <w:trPr/>
        <w:tc>
          <w:tcPr>
            <w:tcW w:type="dxa" w:w="2122"/>
            <w:vAlign w:val="center"/>
            <w:tcMar>
              <w:top w:w="80" w:type="dxa"/>
              <w:bottom w:w="80" w:type="dxa"/>
              <w:start w:w="120" w:type="dxa"/>
              <w:end w:w="120" w:type="dxa"/>
            </w:tcMar>
          </w:tcPr>
          <w:p>
            <w:pPr>
              <w:spacing w:before="0" w:after="0" w:line="240" w:lineRule="auto"/>
              <w:jc w:val="left"/>
            </w:pPr>
            <w:r/>
            <w:r>
              <w:rPr>
                <w:rFonts w:ascii="Calibri" w:hAnsi="Calibri"/>
                <w:b/>
                <w:color w:val="1F2937"/>
                <w:sz w:val="19"/>
              </w:rPr>
              <w:t>Datos</w:t>
            </w:r>
          </w:p>
        </w:tc>
        <w:tc>
          <w:tcPr>
            <w:tcW w:type="dxa" w:w="7238"/>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PostgreSQL con RLS activado y modelo de entidades para usuarios, pacientes, citas e historiales.</w:t>
            </w:r>
          </w:p>
        </w:tc>
      </w:tr>
      <w:tr>
        <w:trPr/>
        <w:tc>
          <w:tcPr>
            <w:tcW w:type="dxa" w:w="2122"/>
            <w:vAlign w:val="center"/>
            <w:tcMar>
              <w:top w:w="80" w:type="dxa"/>
              <w:bottom w:w="80" w:type="dxa"/>
              <w:start w:w="120" w:type="dxa"/>
              <w:end w:w="120" w:type="dxa"/>
            </w:tcMar>
          </w:tcPr>
          <w:p>
            <w:pPr>
              <w:spacing w:before="0" w:after="0" w:line="240" w:lineRule="auto"/>
              <w:jc w:val="left"/>
            </w:pPr>
            <w:r/>
            <w:r>
              <w:rPr>
                <w:rFonts w:ascii="Calibri" w:hAnsi="Calibri"/>
                <w:b/>
                <w:color w:val="1F2937"/>
                <w:sz w:val="19"/>
              </w:rPr>
              <w:t>Acceso</w:t>
            </w:r>
          </w:p>
        </w:tc>
        <w:tc>
          <w:tcPr>
            <w:tcW w:type="dxa" w:w="7238"/>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RBAC para roles y ABAC para restricciones por doctor/paciente.</w:t>
            </w:r>
          </w:p>
        </w:tc>
      </w:tr>
      <w:tr>
        <w:trPr/>
        <w:tc>
          <w:tcPr>
            <w:tcW w:type="dxa" w:w="2122"/>
            <w:vAlign w:val="center"/>
            <w:tcMar>
              <w:top w:w="80" w:type="dxa"/>
              <w:bottom w:w="80" w:type="dxa"/>
              <w:start w:w="120" w:type="dxa"/>
              <w:end w:w="120" w:type="dxa"/>
            </w:tcMar>
          </w:tcPr>
          <w:p>
            <w:pPr>
              <w:spacing w:before="0" w:after="0" w:line="240" w:lineRule="auto"/>
              <w:jc w:val="left"/>
            </w:pPr>
            <w:r/>
            <w:r>
              <w:rPr>
                <w:rFonts w:ascii="Calibri" w:hAnsi="Calibri"/>
                <w:b/>
                <w:color w:val="1F2937"/>
                <w:sz w:val="19"/>
              </w:rPr>
              <w:t>Infraestructura</w:t>
            </w:r>
          </w:p>
        </w:tc>
        <w:tc>
          <w:tcPr>
            <w:tcW w:type="dxa" w:w="7238"/>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9"/>
              </w:rPr>
              <w:t>Vercel/Netlify para hosting y GitHub Actions para CI/CD.</w:t>
            </w:r>
          </w:p>
        </w:tc>
      </w:tr>
    </w:tbl>
    <w:p>
      <w:pPr>
        <w:keepNext w:val="0"/>
        <w:keepLines w:val="0"/>
        <w:spacing w:before="160" w:after="80" w:line="259" w:lineRule="auto"/>
        <w:jc w:val="left"/>
      </w:pPr>
      <w:r>
        <w:rPr>
          <w:rFonts w:ascii="Calibri" w:hAnsi="Calibri"/>
          <w:color w:val="1F2937"/>
          <w:sz w:val="22"/>
        </w:rPr>
        <w:t>En QA esto se interpreta como una base con intención real de implementación, no como demo vacía. La parte que sigue pendiente no es el diseño, sino la verificacion de que el dominio publico efectivamente ejecute ese comportamiento.</w:t>
      </w:r>
    </w:p>
    <w:tbl>
      <w:tblPr>
        <w:tblStyle w:val="TableGrid"/>
        <w:tblW w:type="dxa" w:w="9360"/>
        <w:jc w:val="left"/>
        <w:tblLayout w:type="fixed"/>
        <w:tblLook w:firstColumn="1" w:firstRow="1" w:lastColumn="0" w:lastRow="0" w:noHBand="0" w:noVBand="1" w:val="04A0"/>
        <w:tblInd w:type="dxa" w:w="120"/>
      </w:tblPr>
      <w:tblGrid>
        <w:gridCol w:w="1747"/>
        <w:gridCol w:w="3370"/>
        <w:gridCol w:w="1248"/>
        <w:gridCol w:w="2995"/>
      </w:tblGrid>
      <w:tr>
        <w:trPr/>
        <w:tc>
          <w:tcPr>
            <w:tcW w:type="dxa" w:w="1747"/>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19"/>
              </w:rPr>
              <w:t>Area</w:t>
            </w:r>
          </w:p>
        </w:tc>
        <w:tc>
          <w:tcPr>
            <w:tcW w:type="dxa" w:w="3370"/>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19"/>
              </w:rPr>
              <w:t>Riesgo / prueba</w:t>
            </w:r>
          </w:p>
        </w:tc>
        <w:tc>
          <w:tcPr>
            <w:tcW w:type="dxa" w:w="1248"/>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19"/>
              </w:rPr>
              <w:t>Sev.</w:t>
            </w:r>
          </w:p>
        </w:tc>
        <w:tc>
          <w:tcPr>
            <w:tcW w:type="dxa" w:w="2995"/>
            <w:vAlign w:val="center"/>
            <w:shd w:fill="E8EEF5"/>
            <w:tcMar>
              <w:top w:w="80" w:type="dxa"/>
              <w:bottom w:w="80" w:type="dxa"/>
              <w:start w:w="120" w:type="dxa"/>
              <w:end w:w="120" w:type="dxa"/>
            </w:tcMar>
          </w:tcPr>
          <w:p>
            <w:pPr>
              <w:spacing w:before="0" w:after="0" w:line="240" w:lineRule="auto"/>
              <w:jc w:val="center"/>
            </w:pPr>
            <w:r/>
            <w:r>
              <w:rPr>
                <w:rFonts w:ascii="Calibri" w:hAnsi="Calibri"/>
                <w:b/>
                <w:color w:val="1F4D78"/>
                <w:sz w:val="19"/>
              </w:rPr>
              <w:t>Verificacion requerida</w:t>
            </w:r>
          </w:p>
        </w:tc>
      </w:tr>
      <w:tr>
        <w:trPr/>
        <w:tc>
          <w:tcPr>
            <w:tcW w:type="dxa" w:w="1747"/>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OTP</w:t>
            </w:r>
          </w:p>
        </w:tc>
        <w:tc>
          <w:tcPr>
            <w:tcW w:type="dxa" w:w="337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Confirmar proveedor real y expiracion del codigo</w:t>
            </w:r>
          </w:p>
        </w:tc>
        <w:tc>
          <w:tcPr>
            <w:tcW w:type="dxa" w:w="1248"/>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8"/>
              </w:rPr>
              <w:t>Alta</w:t>
            </w:r>
          </w:p>
        </w:tc>
        <w:tc>
          <w:tcPr>
            <w:tcW w:type="dxa" w:w="2995"/>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Prueba de envio, expiracion, reintentos y bloqueo por abuso.</w:t>
            </w:r>
          </w:p>
        </w:tc>
      </w:tr>
      <w:tr>
        <w:trPr/>
        <w:tc>
          <w:tcPr>
            <w:tcW w:type="dxa" w:w="1747"/>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Sesion</w:t>
            </w:r>
          </w:p>
        </w:tc>
        <w:tc>
          <w:tcPr>
            <w:tcW w:type="dxa" w:w="337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Validar refresh token rotation y almacenamiento seguro</w:t>
            </w:r>
          </w:p>
        </w:tc>
        <w:tc>
          <w:tcPr>
            <w:tcW w:type="dxa" w:w="1248"/>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8"/>
              </w:rPr>
              <w:t>Alta</w:t>
            </w:r>
          </w:p>
        </w:tc>
        <w:tc>
          <w:tcPr>
            <w:tcW w:type="dxa" w:w="2995"/>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Inspeccion de cookies, 401 y renovacion automatica.</w:t>
            </w:r>
          </w:p>
        </w:tc>
      </w:tr>
      <w:tr>
        <w:trPr/>
        <w:tc>
          <w:tcPr>
            <w:tcW w:type="dxa" w:w="1747"/>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Acceso</w:t>
            </w:r>
          </w:p>
        </w:tc>
        <w:tc>
          <w:tcPr>
            <w:tcW w:type="dxa" w:w="337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Probar RBAC, ABAC y RLS con cuentas distintas</w:t>
            </w:r>
          </w:p>
        </w:tc>
        <w:tc>
          <w:tcPr>
            <w:tcW w:type="dxa" w:w="1248"/>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8"/>
              </w:rPr>
              <w:t>Alta</w:t>
            </w:r>
          </w:p>
        </w:tc>
        <w:tc>
          <w:tcPr>
            <w:tcW w:type="dxa" w:w="2995"/>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Intentos cruzados entre doctor, secretaria y paciente.</w:t>
            </w:r>
          </w:p>
        </w:tc>
      </w:tr>
      <w:tr>
        <w:trPr/>
        <w:tc>
          <w:tcPr>
            <w:tcW w:type="dxa" w:w="1747"/>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API</w:t>
            </w:r>
          </w:p>
        </w:tc>
        <w:tc>
          <w:tcPr>
            <w:tcW w:type="dxa" w:w="337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Confirmar que keys no viajan al frontend</w:t>
            </w:r>
          </w:p>
        </w:tc>
        <w:tc>
          <w:tcPr>
            <w:tcW w:type="dxa" w:w="1248"/>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8"/>
              </w:rPr>
              <w:t>Media</w:t>
            </w:r>
          </w:p>
        </w:tc>
        <w:tc>
          <w:tcPr>
            <w:tcW w:type="dxa" w:w="2995"/>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Revision del bundle y variables de entorno.</w:t>
            </w:r>
          </w:p>
        </w:tc>
      </w:tr>
      <w:tr>
        <w:trPr/>
        <w:tc>
          <w:tcPr>
            <w:tcW w:type="dxa" w:w="1747"/>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CI/CD</w:t>
            </w:r>
          </w:p>
        </w:tc>
        <w:tc>
          <w:tcPr>
            <w:tcW w:type="dxa" w:w="3370"/>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Verificar que existan tests y despliegue reproducible</w:t>
            </w:r>
          </w:p>
        </w:tc>
        <w:tc>
          <w:tcPr>
            <w:tcW w:type="dxa" w:w="1248"/>
            <w:vAlign w:val="center"/>
            <w:tcMar>
              <w:top w:w="80" w:type="dxa"/>
              <w:bottom w:w="80" w:type="dxa"/>
              <w:start w:w="120" w:type="dxa"/>
              <w:end w:w="120" w:type="dxa"/>
            </w:tcMar>
          </w:tcPr>
          <w:p>
            <w:pPr>
              <w:spacing w:before="0" w:after="0" w:line="240" w:lineRule="auto"/>
              <w:jc w:val="center"/>
            </w:pPr>
            <w:r/>
            <w:r>
              <w:rPr>
                <w:rFonts w:ascii="Calibri" w:hAnsi="Calibri"/>
                <w:b w:val="0"/>
                <w:color w:val="1F2937"/>
                <w:sz w:val="18"/>
              </w:rPr>
              <w:t>Media</w:t>
            </w:r>
          </w:p>
        </w:tc>
        <w:tc>
          <w:tcPr>
            <w:tcW w:type="dxa" w:w="2995"/>
            <w:vAlign w:val="center"/>
            <w:tcMar>
              <w:top w:w="80" w:type="dxa"/>
              <w:bottom w:w="80" w:type="dxa"/>
              <w:start w:w="120" w:type="dxa"/>
              <w:end w:w="120" w:type="dxa"/>
            </w:tcMar>
          </w:tcPr>
          <w:p>
            <w:pPr>
              <w:spacing w:before="0" w:after="0" w:line="240" w:lineRule="auto"/>
              <w:jc w:val="left"/>
            </w:pPr>
            <w:r/>
            <w:r>
              <w:rPr>
                <w:rFonts w:ascii="Calibri" w:hAnsi="Calibri"/>
                <w:b w:val="0"/>
                <w:color w:val="1F2937"/>
                <w:sz w:val="18"/>
              </w:rPr>
              <w:t>Evidencia de pipeline, build y tests automatizados.</w:t>
            </w:r>
          </w:p>
        </w:tc>
      </w:tr>
    </w:tbl>
    <w:p>
      <w:r>
        <w:br w:type="page"/>
      </w:r>
    </w:p>
    <w:p>
      <w:pPr>
        <w:pStyle w:val="Heading1"/>
        <w:jc w:val="left"/>
      </w:pPr>
      <w:r>
        <w:t>4. Conclusión y dictamen preliminar</w:t>
      </w:r>
    </w:p>
    <w:p>
      <w:pPr>
        <w:keepNext w:val="0"/>
        <w:keepLines w:val="0"/>
        <w:spacing w:before="0" w:after="160" w:line="259" w:lineRule="auto"/>
        <w:jc w:val="left"/>
      </w:pPr>
      <w:r>
        <w:rPr>
          <w:rFonts w:ascii="Calibri" w:hAnsi="Calibri"/>
          <w:color w:val="1F2937"/>
          <w:sz w:val="22"/>
        </w:rPr>
        <w:t>La documentacion revisada describe un MVP consistente, bien segmentado y con un enfoque tecnico maduro. Se entiende el producto, el flujo principal esta claro y el disenio de seguridad apunta a un sistema real, no a una simple maqueta.</w:t>
      </w:r>
    </w:p>
    <w:p>
      <w:pPr>
        <w:keepNext w:val="0"/>
        <w:keepLines w:val="0"/>
        <w:spacing w:before="0" w:after="160" w:line="259" w:lineRule="auto"/>
        <w:jc w:val="left"/>
      </w:pPr>
      <w:r>
        <w:rPr>
          <w:rFonts w:ascii="Calibri" w:hAnsi="Calibri"/>
          <w:b/>
          <w:color w:val="1F2937"/>
          <w:sz w:val="22"/>
        </w:rPr>
        <w:t>Dictamen: revision preliminar positiva a nivel documental, con validacion viva pendiente por restriccion de acceso a red en este entorno.</w:t>
      </w:r>
    </w:p>
    <w:p>
      <w:pPr>
        <w:keepNext w:val="0"/>
        <w:keepLines w:val="0"/>
        <w:spacing w:before="0" w:after="160" w:line="259" w:lineRule="auto"/>
        <w:jc w:val="left"/>
      </w:pPr>
      <w:r>
        <w:rPr>
          <w:rFonts w:ascii="Calibri" w:hAnsi="Calibri"/>
          <w:b/>
          <w:color w:val="1F2937"/>
          <w:sz w:val="22"/>
        </w:rPr>
        <w:t>Recomendacion QA:</w:t>
      </w:r>
      <w:r>
        <w:rPr>
          <w:rFonts w:ascii="Calibri" w:hAnsi="Calibri"/>
          <w:color w:val="1F2937"/>
          <w:sz w:val="22"/>
        </w:rPr>
        <w:t>cuando tengas acceso al entorno, ejecutar pruebas vivas de login, OTP, citas, refresco de sesion, RLS/ABAC y navegacion entre roles con capturas reales.</w:t>
      </w:r>
    </w:p>
    <w:p>
      <w:pPr>
        <w:keepNext w:val="0"/>
        <w:keepLines w:val="0"/>
        <w:spacing w:before="80" w:after="160" w:line="252" w:lineRule="auto"/>
        <w:ind w:left="72" w:right="72"/>
        <w:jc w:val="left"/>
        <w:shd w:fill="F8FAFC"/>
      </w:pPr>
      <w:r>
        <w:rPr>
          <w:rFonts w:ascii="Calibri" w:hAnsi="Calibri"/>
          <w:b/>
          <w:color w:val="1F2937"/>
          <w:sz w:val="21"/>
        </w:rPr>
        <w:t xml:space="preserve">Score preliminar: </w:t>
      </w:r>
      <w:r>
        <w:rPr>
          <w:rFonts w:ascii="Calibri" w:hAnsi="Calibri"/>
          <w:color w:val="1F2937"/>
          <w:sz w:val="21"/>
        </w:rPr>
        <w:t>3/4 en claridad, logica y robustez documentada. El punto no validado es la ejecucion viva contra el dominio publico.</w:t>
      </w:r>
    </w:p>
    <w:p>
      <w:r>
        <w:br w:type="page"/>
      </w:r>
    </w:p>
    <w:p>
      <w:pPr>
        <w:pStyle w:val="Heading1"/>
        <w:jc w:val="left"/>
      </w:pPr>
      <w:r>
        <w:t>Anexo 1 - Portada y contexto</w:t>
      </w:r>
    </w:p>
    <w:p>
      <w:pPr>
        <w:keepNext w:val="0"/>
        <w:keepLines w:val="0"/>
        <w:spacing w:before="0" w:after="40" w:line="240" w:lineRule="auto"/>
        <w:jc w:val="center"/>
      </w:pPr>
      <w:r>
        <w:drawing>
          <wp:inline xmlns:a="http://schemas.openxmlformats.org/drawingml/2006/main" xmlns:pic="http://schemas.openxmlformats.org/drawingml/2006/picture">
            <wp:extent cx="5486400" cy="7762035"/>
            <wp:docPr id="1" name="Picture 1"/>
            <wp:cNvGraphicFramePr>
              <a:graphicFrameLocks noChangeAspect="1"/>
            </wp:cNvGraphicFramePr>
            <a:graphic>
              <a:graphicData uri="http://schemas.openxmlformats.org/drawingml/2006/picture">
                <pic:pic>
                  <pic:nvPicPr>
                    <pic:cNvPr id="0" name="page-1.png"/>
                    <pic:cNvPicPr/>
                  </pic:nvPicPr>
                  <pic:blipFill>
                    <a:blip r:embed="rId10"/>
                    <a:stretch>
                      <a:fillRect/>
                    </a:stretch>
                  </pic:blipFill>
                  <pic:spPr>
                    <a:xfrm>
                      <a:off x="0" y="0"/>
                      <a:ext cx="5486400" cy="7762035"/>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A1 - Portada del documento tecnico base, con autoria del equipo y titulo del proyecto.</w:t>
      </w:r>
    </w:p>
    <w:p>
      <w:r>
        <w:br w:type="page"/>
      </w:r>
    </w:p>
    <w:p>
      <w:pPr>
        <w:pStyle w:val="Heading1"/>
        <w:jc w:val="left"/>
      </w:pPr>
      <w:r>
        <w:t>Anexo 2 - Vision general</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2" name="Picture 2"/>
            <wp:cNvGraphicFramePr>
              <a:graphicFrameLocks noChangeAspect="1"/>
            </wp:cNvGraphicFramePr>
            <a:graphic>
              <a:graphicData uri="http://schemas.openxmlformats.org/drawingml/2006/picture">
                <pic:pic>
                  <pic:nvPicPr>
                    <pic:cNvPr id="0" name="page-2.png"/>
                    <pic:cNvPicPr/>
                  </pic:nvPicPr>
                  <pic:blipFill>
                    <a:blip r:embed="rId11"/>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A2 - Vision general, publico objetivo y arquitectura de alto nivel.</w:t>
      </w:r>
    </w:p>
    <w:p>
      <w:r>
        <w:br w:type="page"/>
      </w:r>
    </w:p>
    <w:p>
      <w:pPr>
        <w:pStyle w:val="Heading1"/>
        <w:jc w:val="left"/>
      </w:pPr>
      <w:r>
        <w:t>Anexo 3 - Frontend y rutas</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3" name="Picture 3"/>
            <wp:cNvGraphicFramePr>
              <a:graphicFrameLocks noChangeAspect="1"/>
            </wp:cNvGraphicFramePr>
            <a:graphic>
              <a:graphicData uri="http://schemas.openxmlformats.org/drawingml/2006/picture">
                <pic:pic>
                  <pic:nvPicPr>
                    <pic:cNvPr id="0" name="page-4.png"/>
                    <pic:cNvPicPr/>
                  </pic:nvPicPr>
                  <pic:blipFill>
                    <a:blip r:embed="rId12"/>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A3 - Mapa de pantallas y control de acceso por modulo.</w:t>
      </w:r>
    </w:p>
    <w:p>
      <w:r>
        <w:br w:type="page"/>
      </w:r>
    </w:p>
    <w:p>
      <w:pPr>
        <w:pStyle w:val="Heading1"/>
        <w:jc w:val="left"/>
      </w:pPr>
      <w:r>
        <w:t>Anexo 4 - Modelo de datos</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4" name="Picture 4"/>
            <wp:cNvGraphicFramePr>
              <a:graphicFrameLocks noChangeAspect="1"/>
            </wp:cNvGraphicFramePr>
            <a:graphic>
              <a:graphicData uri="http://schemas.openxmlformats.org/drawingml/2006/picture">
                <pic:pic>
                  <pic:nvPicPr>
                    <pic:cNvPr id="0" name="page-5.png"/>
                    <pic:cNvPicPr/>
                  </pic:nvPicPr>
                  <pic:blipFill>
                    <a:blip r:embed="rId13"/>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A4 - Base de datos, entidades y relaciones principales.</w:t>
      </w:r>
    </w:p>
    <w:p>
      <w:r>
        <w:br w:type="page"/>
      </w:r>
    </w:p>
    <w:p>
      <w:pPr>
        <w:pStyle w:val="Heading1"/>
        <w:jc w:val="left"/>
      </w:pPr>
      <w:r>
        <w:t>Anexo 5 - Autenticacion y sesion</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5" name="Picture 5"/>
            <wp:cNvGraphicFramePr>
              <a:graphicFrameLocks noChangeAspect="1"/>
            </wp:cNvGraphicFramePr>
            <a:graphic>
              <a:graphicData uri="http://schemas.openxmlformats.org/drawingml/2006/picture">
                <pic:pic>
                  <pic:nvPicPr>
                    <pic:cNvPr id="0" name="page-9.png"/>
                    <pic:cNvPicPr/>
                  </pic:nvPicPr>
                  <pic:blipFill>
                    <a:blip r:embed="rId14"/>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A5 - Flujo de login, OTP y refresh token.</w:t>
      </w:r>
    </w:p>
    <w:p>
      <w:r>
        <w:br w:type="page"/>
      </w:r>
    </w:p>
    <w:p>
      <w:pPr>
        <w:pStyle w:val="Heading1"/>
        <w:jc w:val="left"/>
      </w:pPr>
      <w:r>
        <w:t>Anexo 6 - Control de acceso</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6" name="Picture 6"/>
            <wp:cNvGraphicFramePr>
              <a:graphicFrameLocks noChangeAspect="1"/>
            </wp:cNvGraphicFramePr>
            <a:graphic>
              <a:graphicData uri="http://schemas.openxmlformats.org/drawingml/2006/picture">
                <pic:pic>
                  <pic:nvPicPr>
                    <pic:cNvPr id="0" name="page-10.png"/>
                    <pic:cNvPicPr/>
                  </pic:nvPicPr>
                  <pic:blipFill>
                    <a:blip r:embed="rId15"/>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A6 - RBAC, ABAC y politicas RLS por tabla.</w:t>
      </w:r>
    </w:p>
    <w:p>
      <w:r>
        <w:br w:type="page"/>
      </w:r>
    </w:p>
    <w:p>
      <w:pPr>
        <w:pStyle w:val="Heading1"/>
        <w:jc w:val="left"/>
      </w:pPr>
      <w:r>
        <w:t>Anexo 7 - Seguridad e infraestructura</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7" name="Picture 7"/>
            <wp:cNvGraphicFramePr>
              <a:graphicFrameLocks noChangeAspect="1"/>
            </wp:cNvGraphicFramePr>
            <a:graphic>
              <a:graphicData uri="http://schemas.openxmlformats.org/drawingml/2006/picture">
                <pic:pic>
                  <pic:nvPicPr>
                    <pic:cNvPr id="0" name="page-12.png"/>
                    <pic:cNvPicPr/>
                  </pic:nvPicPr>
                  <pic:blipFill>
                    <a:blip r:embed="rId16"/>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A7 - Controles de seguridad, variables de entorno e infraestructura.</w:t>
      </w:r>
    </w:p>
    <w:p>
      <w:r>
        <w:br w:type="page"/>
      </w:r>
    </w:p>
    <w:p>
      <w:pPr>
        <w:pStyle w:val="Heading1"/>
        <w:jc w:val="left"/>
      </w:pPr>
      <w:r>
        <w:t>Anexo 8 - Flujo del sistema</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8" name="Picture 8"/>
            <wp:cNvGraphicFramePr>
              <a:graphicFrameLocks noChangeAspect="1"/>
            </wp:cNvGraphicFramePr>
            <a:graphic>
              <a:graphicData uri="http://schemas.openxmlformats.org/drawingml/2006/picture">
                <pic:pic>
                  <pic:nvPicPr>
                    <pic:cNvPr id="0" name="page-14.png"/>
                    <pic:cNvPicPr/>
                  </pic:nvPicPr>
                  <pic:blipFill>
                    <a:blip r:embed="rId17"/>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A8 - Registro, citas y consulta medica descritos paso a paso.</w:t>
      </w:r>
    </w:p>
    <w:p>
      <w:r>
        <w:br w:type="page"/>
      </w:r>
    </w:p>
    <w:p>
      <w:pPr>
        <w:pStyle w:val="Heading1"/>
        <w:jc w:val="left"/>
      </w:pPr>
      <w:r>
        <w:t>Anexo 9 - Plan de pruebas</w:t>
      </w:r>
    </w:p>
    <w:p>
      <w:pPr>
        <w:keepNext w:val="0"/>
        <w:keepLines w:val="0"/>
        <w:spacing w:before="0" w:after="40" w:line="240" w:lineRule="auto"/>
        <w:jc w:val="center"/>
      </w:pPr>
      <w:r>
        <w:drawing>
          <wp:inline xmlns:a="http://schemas.openxmlformats.org/drawingml/2006/main" xmlns:pic="http://schemas.openxmlformats.org/drawingml/2006/picture">
            <wp:extent cx="5486400" cy="7100047"/>
            <wp:docPr id="9" name="Picture 9"/>
            <wp:cNvGraphicFramePr>
              <a:graphicFrameLocks noChangeAspect="1"/>
            </wp:cNvGraphicFramePr>
            <a:graphic>
              <a:graphicData uri="http://schemas.openxmlformats.org/drawingml/2006/picture">
                <pic:pic>
                  <pic:nvPicPr>
                    <pic:cNvPr id="0" name="page-16.png"/>
                    <pic:cNvPicPr/>
                  </pic:nvPicPr>
                  <pic:blipFill>
                    <a:blip r:embed="rId18"/>
                    <a:stretch>
                      <a:fillRect/>
                    </a:stretch>
                  </pic:blipFill>
                  <pic:spPr>
                    <a:xfrm>
                      <a:off x="0" y="0"/>
                      <a:ext cx="5486400" cy="7100047"/>
                    </a:xfrm>
                    <a:prstGeom prst="rect"/>
                  </pic:spPr>
                </pic:pic>
              </a:graphicData>
            </a:graphic>
          </wp:inline>
        </w:drawing>
      </w:r>
    </w:p>
    <w:p>
      <w:pPr>
        <w:keepNext w:val="0"/>
        <w:keepLines w:val="0"/>
        <w:spacing w:before="0" w:after="200" w:line="240" w:lineRule="auto"/>
        <w:jc w:val="center"/>
      </w:pPr>
      <w:r>
        <w:rPr>
          <w:rFonts w:ascii="Calibri" w:hAnsi="Calibri"/>
          <w:i/>
          <w:color w:val="555555"/>
          <w:sz w:val="18"/>
        </w:rPr>
        <w:t>A9 - Plan de pruebas unitarias, integracion, E2E y seguridad.</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jc w:val="left"/>
    </w:pPr>
    <w:r>
      <w:rPr>
        <w:rFonts w:ascii="Calibri" w:hAnsi="Calibri"/>
        <w:color w:val="636E7D"/>
        <w:sz w:val="18"/>
      </w:rPr>
      <w:t>AUDIT-1 | Consultorio Digital SaaS</w:t>
    </w:r>
    <w:r>
      <w:rPr>
        <w:rFonts w:ascii="Calibri" w:hAnsi="Calibri"/>
        <w:color w:val="636E7D"/>
        <w:sz w:val="18"/>
      </w:rPr>
      <w:tab/>
    </w:r>
    <w:r>
      <w:rPr>
        <w:rFonts w:ascii="Calibri" w:hAnsi="Calibri"/>
        <w:color w:val="636E7D"/>
        <w:sz w:val="18"/>
      </w:rPr>
      <w:t xml:space="preserve">Pagina </w:t>
    </w:r>
    <w:r>
      <w:rPr>
        <w:rFonts w:ascii="Calibri" w:hAnsi="Calibri"/>
        <w:color w:val="636E7D"/>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