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Análisis Financiero Consolidado</w:t>
      </w:r>
    </w:p>
    <w:p>
      <w:r>
        <w:t>Generado el: 2025-10-18 16:59</w:t>
      </w:r>
    </w:p>
    <w:p>
      <w:r>
        <w:t>Total de documentos analizados: 2</w:t>
      </w:r>
    </w:p>
    <w:p/>
    <w:p>
      <w:pPr>
        <w:pStyle w:val="Heading1"/>
      </w:pPr>
      <w:r>
        <w:t>Resumen Ejecutivo</w:t>
      </w:r>
    </w:p>
    <w:p>
      <w:r>
        <w:br/>
        <w:t xml:space="preserve">        Se analizaron 2 documentos financieros. </w:t>
        <w:br/>
        <w:t xml:space="preserve">        </w:t>
        <w:br/>
        <w:t xml:space="preserve">        Distribución de riesgos:</w:t>
        <w:br/>
        <w:t xml:space="preserve">        - Riesgo Alto: 0 documentos</w:t>
        <w:br/>
        <w:t xml:space="preserve">        - Riesgo Medio: 1 documentos  </w:t>
        <w:br/>
        <w:t xml:space="preserve">        - Riesgo Bajo: 1 documentos</w:t>
        <w:br/>
        <w:t xml:space="preserve">        </w:t>
        <w:br/>
        <w:t xml:space="preserve">        Oportunidades identificadas: 0</w:t>
        <w:br/>
        <w:t xml:space="preserve">        </w:t>
      </w:r>
    </w:p>
    <w:p>
      <w:pPr>
        <w:pStyle w:val="Heading1"/>
      </w:pPr>
      <w:r>
        <w:t>Análisis Detallado por Documento</w:t>
      </w:r>
    </w:p>
    <w:p>
      <w:pPr>
        <w:pStyle w:val="Heading2"/>
      </w:pPr>
      <w:r>
        <w:t>Documento: informe_corporativo_masivo.pdf</w:t>
      </w:r>
    </w:p>
    <w:p>
      <w:pPr>
        <w:pStyle w:val="Heading3"/>
      </w:pPr>
      <w:r>
        <w:t>Resumen</w:t>
      </w:r>
    </w:p>
    <w:p>
      <w:r>
        <w:t>El informe financiero corporativo 2024 presenta un crecimiento orgánico del 15% en ingresos y una mejora del margen EBITDA del 2.3%. Se identificaron oportunidades de optimización en la cadena de suministro que podrían generar ahorros adicionales.</w:t>
      </w:r>
    </w:p>
    <w:p>
      <w:pPr>
        <w:pStyle w:val="Heading3"/>
      </w:pPr>
      <w:r>
        <w:t>Puntos Fuertes</w:t>
      </w:r>
    </w:p>
    <w:p>
      <w:pPr>
        <w:pStyle w:val="ListBullet"/>
      </w:pPr>
      <w:r>
        <w:t>• Crecimiento orgánico del 15% en ingresos</w:t>
      </w:r>
    </w:p>
    <w:p>
      <w:pPr>
        <w:pStyle w:val="ListBullet"/>
      </w:pPr>
      <w:r>
        <w:t>• Mejora del margen EBITDA del 2.3%</w:t>
      </w:r>
    </w:p>
    <w:p>
      <w:pPr>
        <w:pStyle w:val="ListBullet"/>
      </w:pPr>
      <w:r>
        <w:t>• Redución del costo de capital del 1.8%</w:t>
      </w:r>
    </w:p>
    <w:p>
      <w:pPr>
        <w:pStyle w:val="Heading3"/>
      </w:pPr>
      <w:r>
        <w:t>Áreas de Mejora</w:t>
      </w:r>
    </w:p>
    <w:p>
      <w:pPr>
        <w:pStyle w:val="ListBullet"/>
      </w:pPr>
      <w:r>
        <w:t>• Se detectaron 3 áreas de mejora en los controles internos relacionadas con la segregación de funciones en el proceso de aprobación de gastos</w:t>
      </w:r>
    </w:p>
    <w:p/>
    <w:p>
      <w:pPr>
        <w:pStyle w:val="Heading2"/>
      </w:pPr>
      <w:r>
        <w:t>Documento: manual_empresa.pdf</w:t>
      </w:r>
    </w:p>
    <w:p>
      <w:pPr>
        <w:pStyle w:val="Heading3"/>
      </w:pPr>
      <w:r>
        <w:t>Resumen</w:t>
      </w:r>
    </w:p>
    <w:p>
      <w:r>
        <w:t>TeenFinanKids es una aplicación móvil que brinda educación financiera integral a niños y jóvenes en Colombia.</w:t>
      </w:r>
    </w:p>
    <w:p>
      <w:pPr>
        <w:pStyle w:val="Heading3"/>
      </w:pPr>
      <w:r>
        <w:t>Puntos Fuertes</w:t>
      </w:r>
    </w:p>
    <w:p>
      <w:pPr>
        <w:pStyle w:val="ListBullet"/>
      </w:pPr>
      <w:r>
        <w:t>• aplicación lúdica y accesible</w:t>
      </w:r>
    </w:p>
    <w:p>
      <w:pPr>
        <w:pStyle w:val="ListBullet"/>
      </w:pPr>
      <w:r>
        <w:t>• participación de padres y tutores</w:t>
      </w:r>
    </w:p>
    <w:p>
      <w:pPr>
        <w:pStyle w:val="ListBullet"/>
      </w:pPr>
      <w:r>
        <w:t>• educación financiera integral</w:t>
      </w:r>
    </w:p>
    <w:p>
      <w:pPr>
        <w:pStyle w:val="Heading3"/>
      </w:pPr>
      <w:r>
        <w:t>Áreas de Mejora</w:t>
      </w:r>
    </w:p>
    <w:p>
      <w:pPr>
        <w:pStyle w:val="ListBullet"/>
      </w:pPr>
      <w:r>
        <w:t>• limitaciones de implementación</w:t>
      </w:r>
    </w:p>
    <w:p>
      <w:pPr>
        <w:pStyle w:val="ListBullet"/>
      </w:pPr>
      <w:r>
        <w:t>• riesgos económicos</w:t>
      </w:r>
    </w:p>
    <w:p/>
    <w:p>
      <w:pPr>
        <w:pStyle w:val="Heading1"/>
      </w:pPr>
      <w:r>
        <w:t>Puntos Fuertes Consolidados</w:t>
      </w:r>
    </w:p>
    <w:p>
      <w:pPr>
        <w:pStyle w:val="ListBullet"/>
      </w:pPr>
      <w:r>
        <w:t>• educación financiera integral</w:t>
      </w:r>
    </w:p>
    <w:p>
      <w:pPr>
        <w:pStyle w:val="ListBullet"/>
      </w:pPr>
      <w:r>
        <w:t>• aplicación lúdica y accesible</w:t>
      </w:r>
    </w:p>
    <w:p>
      <w:pPr>
        <w:pStyle w:val="ListBullet"/>
      </w:pPr>
      <w:r>
        <w:t>• Crecimiento orgánico del 15% en ingresos</w:t>
      </w:r>
    </w:p>
    <w:p>
      <w:pPr>
        <w:pStyle w:val="ListBullet"/>
      </w:pPr>
      <w:r>
        <w:t>• Mejora del margen EBITDA del 2.3%</w:t>
      </w:r>
    </w:p>
    <w:p>
      <w:pPr>
        <w:pStyle w:val="ListBullet"/>
      </w:pPr>
      <w:r>
        <w:t>• participación de padres y tutores</w:t>
      </w:r>
    </w:p>
    <w:p>
      <w:pPr>
        <w:pStyle w:val="ListBullet"/>
      </w:pPr>
      <w:r>
        <w:t>• Redución del costo de capital del 1.8%</w:t>
      </w:r>
    </w:p>
    <w:p>
      <w:pPr>
        <w:pStyle w:val="Heading1"/>
      </w:pPr>
      <w:r>
        <w:t>Áreas de Mejora Prioritarias</w:t>
      </w:r>
    </w:p>
    <w:p>
      <w:pPr>
        <w:pStyle w:val="ListBullet"/>
      </w:pPr>
      <w:r>
        <w:t>• limitaciones de implementación</w:t>
      </w:r>
    </w:p>
    <w:p>
      <w:pPr>
        <w:pStyle w:val="ListBullet"/>
      </w:pPr>
      <w:r>
        <w:t>• Se detectaron 3 áreas de mejora en los controles internos relacionadas con la segregación de funciones en el proceso de aprobación de gastos</w:t>
      </w:r>
    </w:p>
    <w:p>
      <w:pPr>
        <w:pStyle w:val="ListBullet"/>
      </w:pPr>
      <w:r>
        <w:t>• riesgos económicos</w:t>
      </w:r>
    </w:p>
    <w:p>
      <w:pPr>
        <w:pStyle w:val="Heading1"/>
      </w:pPr>
      <w:r>
        <w:t>Recomendaciones Estratégicas</w:t>
      </w:r>
    </w:p>
    <w:p>
      <w:pPr>
        <w:pStyle w:val="ListBullet"/>
      </w:pPr>
      <w:r>
        <w:t>• fomentar hábitos financieros saludables desde la infancia</w:t>
      </w:r>
    </w:p>
    <w:p>
      <w:pPr>
        <w:pStyle w:val="ListBullet"/>
      </w:pPr>
      <w:r>
        <w:t>• consolidar una experiencia educativa motivadora</w:t>
      </w:r>
    </w:p>
    <w:p>
      <w:pPr>
        <w:pStyle w:val="ListBullet"/>
      </w:pPr>
      <w:r>
        <w:t>• Revisar y actualizar las políticas de autorización para alinearlas con las mejores prácticas del sector</w:t>
      </w:r>
    </w:p>
    <w:p>
      <w:pPr>
        <w:pStyle w:val="ListBullet"/>
      </w:pPr>
      <w:r>
        <w:t>• Implementar coberturas cambiarias para mitigar el riesgo exposure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