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750BC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Times New Roman" w:hAnsi="Times New Roman" w:eastAsia="仿宋_GB2312" w:cs="仿宋_GB2312"/>
          <w:b/>
          <w:bCs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/>
          <w:bCs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Times New Roman" w:hAnsi="Times New Roman" w:eastAsia="仿宋_GB2312" w:cs="仿宋_GB2312"/>
          <w:b/>
          <w:bCs/>
          <w:sz w:val="72"/>
          <w:szCs w:val="72"/>
        </w:rPr>
        <w:t>开源</w:t>
      </w:r>
      <w:r>
        <w:rPr>
          <w:rFonts w:hint="eastAsia" w:ascii="Times New Roman" w:hAnsi="Times New Roman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Times New Roman" w:hAnsi="Times New Roman" w:eastAsia="仿宋_GB2312" w:cs="仿宋_GB2312"/>
          <w:b/>
          <w:bCs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b/>
                <w:bCs/>
                <w:sz w:val="24"/>
                <w:szCs w:val="24"/>
                <w:lang w:val="en-US" w:eastAsia="zh-CN"/>
              </w:rPr>
              <w:t>辛远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Times New Roman" w:hAnsi="Times New Roman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/>
                <w:bCs/>
                <w:sz w:val="24"/>
                <w:szCs w:val="24"/>
              </w:rPr>
              <w:t>w26090307055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b/>
                <w:bCs/>
                <w:sz w:val="24"/>
                <w:szCs w:val="24"/>
                <w:lang w:val="en-US" w:eastAsia="zh-CN"/>
              </w:rPr>
              <w:t>f250154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" w:cs="仿宋"/>
                <w:b/>
                <w:bCs/>
                <w:spacing w:val="53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53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Times New Roman" w:hAnsi="Times New Roman" w:eastAsia="仿宋" w:cs="仿宋"/>
                <w:b/>
                <w:bCs/>
                <w:spacing w:val="53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53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53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5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Times New Roman" w:hAnsi="Times New Roman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"/>
                <w:b/>
                <w:bCs/>
                <w:sz w:val="24"/>
                <w:szCs w:val="24"/>
                <w:lang w:val="en-US" w:eastAsia="zh-CN"/>
              </w:rPr>
              <w:t>2026-10-29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Times New Roman" w:hAnsi="Times New Roman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Times New Roman" w:hAnsi="Times New Roman" w:eastAsia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仿宋" w:cs="仿宋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0AA63926">
      <w:pPr>
        <w:rPr>
          <w:rFonts w:hint="eastAsia" w:ascii="Times New Roman" w:hAnsi="Times New Roman" w:eastAsia="仿宋_GB2312" w:cs="仿宋_GB2312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28"/>
          <w:szCs w:val="28"/>
          <w:lang w:val="en-US" w:eastAsia="zh-CN"/>
        </w:rPr>
        <w:t>上海杉达学院</w:t>
      </w:r>
    </w:p>
    <w:p w14:paraId="516AF4C1">
      <w:pPr>
        <w:jc w:val="center"/>
        <w:rPr>
          <w:rFonts w:hint="eastAsia" w:ascii="Times New Roman" w:hAnsi="Times New Roman" w:eastAsia="仿宋_GB2312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28"/>
          <w:szCs w:val="28"/>
          <w:lang w:val="en-US" w:eastAsia="zh-CN"/>
        </w:rPr>
        <w:br w:type="page"/>
      </w:r>
      <w:r>
        <w:rPr>
          <w:rFonts w:hint="eastAsia" w:ascii="Times New Roman" w:hAnsi="Times New Roman" w:eastAsia="仿宋_GB2312"/>
          <w:b/>
          <w:bCs/>
          <w:sz w:val="24"/>
          <w:szCs w:val="24"/>
          <w:lang w:val="en-US" w:eastAsia="zh-CN"/>
        </w:rPr>
        <w:t>摘要</w:t>
      </w:r>
      <w:bookmarkStart w:id="0" w:name="_GoBack"/>
      <w:bookmarkEnd w:id="0"/>
    </w:p>
    <w:p w14:paraId="5D22A74D">
      <w:pPr>
        <w:widowControl/>
        <w:jc w:val="center"/>
        <w:rPr>
          <w:rFonts w:hint="eastAsia" w:ascii="Times New Roman" w:hAnsi="Times New Roman" w:eastAsia="仿宋_GB2312"/>
          <w:b/>
          <w:bCs/>
          <w:sz w:val="24"/>
          <w:szCs w:val="24"/>
          <w:lang w:val="en-US" w:eastAsia="zh-CN"/>
        </w:rPr>
      </w:pPr>
    </w:p>
    <w:p w14:paraId="64963AAF">
      <w:pPr>
        <w:widowControl/>
        <w:jc w:val="left"/>
        <w:rPr>
          <w:rFonts w:hint="eastAsia" w:ascii="宋体" w:hAnsi="宋体" w:eastAsia="宋体" w:cs="宋体"/>
          <w:b w:val="0"/>
          <w:sz w:val="21"/>
          <w:lang w:eastAsia="zh-CN"/>
        </w:rPr>
      </w:pPr>
      <w:r>
        <w:rPr>
          <w:rFonts w:hint="eastAsia" w:ascii="Times New Roman" w:hAnsi="Times New Roman" w:cs="宋体"/>
          <w:b w:val="0"/>
          <w:sz w:val="21"/>
          <w:lang w:val="en-US" w:eastAsia="zh-CN"/>
        </w:rPr>
        <w:tab/>
      </w:r>
      <w:r>
        <w:rPr>
          <w:rFonts w:hint="eastAsia" w:ascii="Times New Roman" w:hAnsi="Times New Roman" w:eastAsia="宋体" w:cs="宋体"/>
          <w:b w:val="0"/>
          <w:sz w:val="21"/>
        </w:rPr>
        <w:t>用 ScanCode Toolkit 32.5.0 扫描 Apache Avro 全量源码，检出 34 种许可证表达式、2458 次匹配。这些表达式来自三类法律效力不同的证据：真实许可证文本、依赖元数据、派生文档——ISC（53 次）与 BlueOak（15 次）全部来自元数据，EPL 系列（37 次）全部来自派生文档，仓库内均无对应文本。报告另举证工具将 Maven 配置项误判为项目许可证的案例</w:t>
      </w:r>
      <w:r>
        <w:rPr>
          <w:rFonts w:hint="eastAsia" w:ascii="Times New Roman" w:hAnsi="Times New Roman" w:eastAsia="宋体" w:cs="宋体"/>
          <w:b w:val="0"/>
          <w:sz w:val="21"/>
          <w:lang w:eastAsia="zh-CN"/>
        </w:rPr>
        <w:t>。</w:t>
      </w:r>
    </w:p>
    <w:p w14:paraId="01902935">
      <w:pPr>
        <w:widowControl/>
        <w:ind w:firstLine="420" w:firstLineChars="200"/>
        <w:jc w:val="left"/>
        <w:rPr>
          <w:rFonts w:hint="eastAsia" w:ascii="宋体" w:hAnsi="宋体" w:eastAsia="宋体" w:cs="宋体"/>
          <w:b w:val="0"/>
          <w:sz w:val="21"/>
          <w:lang w:eastAsia="zh-CN"/>
        </w:rPr>
      </w:pPr>
    </w:p>
    <w:p w14:paraId="448D02B8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1</w:t>
      </w:r>
      <w:r>
        <w:rPr>
          <w:rFonts w:hint="eastAsia" w:ascii="Times New Roman" w:hAnsi="Times New Roman" w:eastAsia="仿宋_GB2312" w:cs="仿宋_GB2312"/>
          <w:b/>
          <w:bCs/>
          <w:sz w:val="24"/>
          <w:szCs w:val="24"/>
        </w:rPr>
        <w:t>、</w:t>
      </w: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源项目介绍</w:t>
      </w:r>
    </w:p>
    <w:p w14:paraId="0147DDEB">
      <w:pPr>
        <w:spacing w:before="0" w:after="100" w:line="276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/>
          <w:b w:val="0"/>
          <w:sz w:val="24"/>
          <w:lang w:val="en-US" w:eastAsia="zh-CN"/>
        </w:rPr>
        <w:tab/>
      </w:r>
      <w:r>
        <w:rPr>
          <w:rFonts w:hint="eastAsia" w:ascii="Times New Roman" w:hAnsi="Times New Roman" w:eastAsia="宋体" w:cs="宋体"/>
          <w:b w:val="0"/>
          <w:sz w:val="21"/>
          <w:szCs w:val="21"/>
        </w:rPr>
        <w:t>Apache Avro 是 Apache 基金会的数据序列化系统，提供二进制编码与基于 schema 的 RPC。它把 schema 与数据一同存储，读取方无需持有同版本 schema 即可解析，因而支持字段演进。2009 年 4 月由 Doug Cutting 创建、作为 Hadoop 子项目加入 Apache，2010 年 5 月成为顶级项目。</w:t>
      </w:r>
    </w:p>
    <w:p w14:paraId="22C5F51B">
      <w:pPr>
        <w:spacing w:before="0" w:after="100" w:line="276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sz w:val="21"/>
          <w:szCs w:val="21"/>
        </w:rPr>
        <w:t>选它做分析有两个原因。一是多语言实现并存：十种语言（Java、C#、C、C++、PHP、Python、Ruby、JS、Perl、Rust）带来七套包管理体系的许可证声明。二是必须自带第三方代码：C 实现的 msinttypes.h、st.c、Java IPC 页面用的 jQuery、protovis 等均直接提交在仓库中。因此 LICENSE.txt 长达 390 行——Apache-2.0 正文之后附 8 个第三方组件条目，覆盖 BSD-3-Clause、MIT、Public Domain 三类，另含一个双许可案例（jQuery v1.4.2，MIT / GPL-2.0）。</w:t>
      </w:r>
    </w:p>
    <w:p w14:paraId="34E9A3F5">
      <w:pPr>
        <w:spacing w:before="0" w:after="100" w:line="276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sz w:val="21"/>
          <w:szCs w:val="21"/>
        </w:rPr>
        <w:t>分析对象为 Gitee 上的 Apache 官方镜像（fork=false，主仓库在 GitHub），固定 commit 3a207fa6（2026-10-14，版本线 1.13.0-SNAPSHOT），共 2190 个文件、17.35 MB。</w:t>
      </w:r>
    </w:p>
    <w:p w14:paraId="00FBF7DE">
      <w:pPr>
        <w:widowControl/>
        <w:jc w:val="left"/>
        <w:rPr>
          <w:rFonts w:hint="default" w:ascii="仿宋_GB2312" w:hAnsi="宋体" w:eastAsia="仿宋_GB2312" w:cs="仿宋_GB2312"/>
          <w:b/>
          <w:bCs/>
          <w:sz w:val="24"/>
          <w:szCs w:val="24"/>
          <w:lang w:val="en-US" w:eastAsia="zh-CN"/>
        </w:rPr>
      </w:pPr>
    </w:p>
    <w:p w14:paraId="1CBB333E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仿宋_GB2312" w:cs="仿宋_GB2312"/>
          <w:b/>
          <w:bCs/>
          <w:sz w:val="24"/>
          <w:szCs w:val="24"/>
        </w:rPr>
        <w:t>、</w:t>
      </w: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工具安装过程与问题</w:t>
      </w:r>
    </w:p>
    <w:p w14:paraId="2291308D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33 款参考工具中，只有文件级扫描类能回答</w:t>
      </w:r>
      <w:r>
        <w:rPr>
          <w:rFonts w:hint="eastAsia" w:ascii="Times New Roman" w:hAnsi="Times New Roman" w:cs="宋体"/>
          <w:b w:val="0"/>
          <w:bCs w:val="0"/>
          <w:sz w:val="21"/>
          <w:szCs w:val="21"/>
          <w:lang w:eastAsia="zh-CN"/>
        </w:rPr>
        <w:t>“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仓库里实际存在哪些许可证文本</w:t>
      </w:r>
      <w:r>
        <w:rPr>
          <w:rFonts w:hint="eastAsia" w:ascii="Times New Roman" w:hAnsi="Times New Roman" w:cs="宋体"/>
          <w:b w:val="0"/>
          <w:bCs w:val="0"/>
          <w:sz w:val="21"/>
          <w:szCs w:val="21"/>
          <w:lang w:eastAsia="zh-CN"/>
        </w:rPr>
        <w:t>”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，其中 ScanCode Toolkit 识别精度最高、支持 SPDX 输出，故选它。同属 AboutCode 项目群的 AboutCode Toolkit 未选用——它只做 .ABOUT 记录与归属声明，不做许可证识别。</w:t>
      </w:r>
    </w:p>
    <w:p w14:paraId="6CE5ED03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环境为 Windows、Python 3.13.14，装在独立虚拟环境，未改 PATH、未装全局包，删除目录即卸载：</w:t>
      </w:r>
    </w:p>
    <w:p w14:paraId="0F072B75">
      <w:pPr>
        <w:shd w:val="clear" w:fill="F5F5F0"/>
        <w:spacing w:before="60" w:after="120" w:line="240" w:lineRule="auto"/>
        <w:ind w:left="227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python -m venv .scan/venv &amp;&amp; .scan/venv/Scripts/python.exe -m pip install scancode-toolkit</w:t>
      </w:r>
    </w:p>
    <w:p w14:paraId="6A4EDFB9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问题一，末尾</w:t>
      </w:r>
      <w:r>
        <w:rPr>
          <w:rFonts w:hint="eastAsia" w:ascii="Times New Roman" w:hAnsi="Times New Roman" w:cs="宋体"/>
          <w:b w:val="0"/>
          <w:bCs w:val="0"/>
          <w:sz w:val="21"/>
          <w:szCs w:val="21"/>
          <w:lang w:val="en-US" w:eastAsia="zh-CN"/>
        </w:rPr>
        <w:t>报“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WinError 5 拒绝访问</w:t>
      </w:r>
      <w:r>
        <w:rPr>
          <w:rFonts w:hint="eastAsia" w:ascii="Times New Roman" w:hAnsi="Times New Roman" w:cs="宋体"/>
          <w:b w:val="0"/>
          <w:bCs w:val="0"/>
          <w:sz w:val="21"/>
          <w:szCs w:val="21"/>
          <w:lang w:eastAsia="zh-CN"/>
        </w:rPr>
        <w:t>”</w:t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。</w:t>
      </w:r>
    </w:p>
    <w:p w14:paraId="71466B31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错误发生在 RECORD 文件重命名瞬间，此时包已全部写入，pip show 仍报已安装但入口不可用。报错在写元数据而非写代码，说明不是权限错误，而是杀毒软件实时扫描持有文件句柄。重试即成功。</w:t>
      </w:r>
    </w:p>
    <w:p w14:paraId="32A36F5A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问题二，装完程序无法启动。</w:t>
      </w:r>
    </w:p>
    <w:p w14:paraId="2F606C36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scancode --version 抛出 ValueError: did not find any 'pre_scan' hooks in plugincode.pre_scan。三步排查：读 pre_scan.py 排除文件损坏（32 行完整、装饰器在位）；比对 METADATA 排除版本不满足（pluggy&gt;=1.0.0 实装 1.7.0，满足）；将 pluggy 降至 1.5.0 后正常。成因是 pluggy 1.6 之后 hookspec 注册校验变严，与 plugincode 32.0.0 不兼容，而依赖声明只写了下界。</w:t>
      </w:r>
    </w:p>
    <w:p w14:paraId="01F896F4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验证时对 lang/c/src 做了 68 文件实扫，检出 Apache-2.0 61、Public Domain 3、BSD-3-Clause 2，与 LICENSE.txt 一致。两次故障的共同启示：pip install 成功不等于软件可用，必须验证可执行入口并跑一次真实扫描。</w:t>
      </w:r>
    </w:p>
    <w:p w14:paraId="0D15EDC6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</w:rPr>
      </w:pPr>
    </w:p>
    <w:p w14:paraId="5ADEF446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仿宋_GB2312" w:cs="仿宋_GB2312"/>
          <w:b/>
          <w:bCs/>
          <w:sz w:val="24"/>
          <w:szCs w:val="24"/>
        </w:rPr>
        <w:t>、</w:t>
      </w: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检测输出</w:t>
      </w:r>
    </w:p>
    <w:p w14:paraId="69649E7B">
      <w:pPr>
        <w:shd w:val="clear" w:fill="F5F5F0"/>
        <w:spacing w:before="60" w:after="120" w:line="240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cs="宋体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scancode -clpi --ignore "*.git*" --json-pp out.json --spdx-tv out.spdx avro</w:t>
      </w:r>
    </w:p>
    <w:p w14:paraId="75CDDA63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-l 许可证、-c 版权、-p 包与依赖、-i 文件信息。扫描 2190 个文件、17.35 MB，耗时 338 秒，错误数 0。</w:t>
      </w:r>
    </w:p>
    <w:p w14:paraId="36180109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共检出 34 种许可证表达式、2458 次匹配：Apache-2.0（1999）、MIT（239）、ISC（53）、BSD-3-Clause（35）、EPL-1.0（23）、BlueOak-1.0.0（15）、EPL-2.0（14），其余 27 项各 1–10 次。识别 41 个包，覆盖 7 个生态。387 个文件未检出，主要是 .avsc、.avpr、.avro 二进制数据，这类文件按惯例不带许可证头，属正常。</w:t>
      </w:r>
    </w:p>
    <w:p w14:paraId="41B09FBB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02899350">
      <w:pPr>
        <w:widowControl/>
        <w:jc w:val="left"/>
        <w:rPr>
          <w:rFonts w:hint="default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4</w:t>
      </w:r>
      <w:r>
        <w:rPr>
          <w:rFonts w:hint="eastAsia" w:ascii="Times New Roman" w:hAnsi="Times New Roman" w:eastAsia="仿宋_GB2312" w:cs="仿宋_GB2312"/>
          <w:b/>
          <w:bCs/>
          <w:sz w:val="24"/>
          <w:szCs w:val="24"/>
        </w:rPr>
        <w:t>、</w:t>
      </w: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结论与对账</w:t>
      </w:r>
    </w:p>
    <w:p w14:paraId="6FCAB248">
      <w:pPr>
        <w:widowControl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4.1 34种许可证来自三类证据</w:t>
      </w:r>
    </w:p>
    <w:p w14:paraId="142773D2">
      <w:pPr>
        <w:spacing w:before="120" w:after="40"/>
        <w:jc w:val="center"/>
      </w:pPr>
      <w:r>
        <w:rPr>
          <w:rFonts w:ascii="Times New Roman" w:hAnsi="Times New Roman"/>
        </w:rPr>
        <w:drawing>
          <wp:inline distT="0" distB="0" distL="114300" distR="114300">
            <wp:extent cx="5615940" cy="3537585"/>
            <wp:effectExtent l="0" t="0" r="1016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3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1895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图右半是百分比构成。整条单色说明该许可证的检出全部来自同一类证据：ISC（53 次）与 BlueOak（15 次）整条橙色，全部来自依赖元数据，仓库内无任何对应文本；EPL-1.0（23 次）与 EPL-2.0（14 次）整条灰色，全部来自派生文档。</w:t>
      </w:r>
    </w:p>
    <w:p w14:paraId="7CC00F87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三类证据分别是：许可证文本（LICENSE.txt、META-INF/ 下的 cddl-1.0.text、mpl-2.0.text、字体文件 PTMono-Regular.ttf 内嵌的 OFL），义务真正附着于此，是唯一履约依据；依赖元数据（package-lock.json 229 次、pom.xml 等），命中的是 "license": "ISC" 这类字段值，回答“作者声称什么”，与依赖实际文本可以不一致；派生文档（Maven 生成的 dependency-management.html），三手信息，不可作合规依据。</w:t>
      </w:r>
    </w:p>
    <w:p w14:paraId="63059E40">
      <w:pPr>
        <w:spacing w:before="0" w:after="100" w:line="276" w:lineRule="auto"/>
        <w:ind w:firstLine="420"/>
        <w:rPr>
          <w:rFonts w:ascii="Times New Roman" w:hAnsi="Times New Roman" w:eastAsia="宋体"/>
          <w:b w:val="0"/>
          <w:sz w:val="24"/>
        </w:rPr>
      </w:pPr>
    </w:p>
    <w:p w14:paraId="1BEDF791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4.2 分层依据：匹配长度</w:t>
      </w:r>
    </w:p>
    <w:p w14:paraId="2EFCC0AE">
      <w:pPr>
        <w:spacing w:before="120" w:after="40"/>
        <w:jc w:val="center"/>
      </w:pPr>
      <w:r>
        <w:rPr>
          <w:rFonts w:ascii="Times New Roman" w:hAnsi="Times New Roman"/>
        </w:rPr>
        <w:drawing>
          <wp:inline distT="0" distB="0" distL="114300" distR="114300">
            <wp:extent cx="5615940" cy="2823845"/>
            <wp:effectExtent l="0" t="0" r="1016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7FE0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四类文件的 matched_length 清晰分离：依赖元数据中位 2 词元、派生文档 8、源码文件头 119（ASF 标准声明规则长度，1733 次共用）、许可证文本从 3 到 2726。全局 2458 次匹配中 1-hash（整段哈希）仅 12 次，2-aho（精确短语）2406 次——绝大多数是短语级命中而非全文比对</w:t>
      </w:r>
      <w:r>
        <w:rPr>
          <w:rFonts w:hint="eastAsia" w:ascii="Times New Roman" w:hAnsi="Times New Roman" w:eastAsia="宋体" w:cs="宋体"/>
          <w:b w:val="0"/>
          <w:sz w:val="21"/>
          <w:szCs w:val="21"/>
        </w:rPr>
        <w:t>。</w:t>
      </w:r>
    </w:p>
    <w:p w14:paraId="57D27850">
      <w:pPr>
        <w:spacing w:before="0" w:after="100" w:line="276" w:lineRule="auto"/>
        <w:ind w:firstLine="420"/>
        <w:rPr>
          <w:rFonts w:ascii="Times New Roman" w:hAnsi="Times New Roman" w:eastAsia="宋体"/>
          <w:b w:val="0"/>
          <w:sz w:val="24"/>
        </w:rPr>
      </w:pPr>
    </w:p>
    <w:p w14:paraId="2A29BED5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4.3 误判举证：配置项被读作项目许可证</w:t>
      </w:r>
    </w:p>
    <w:p w14:paraId="73DB14C1">
      <w:pPr>
        <w:spacing w:before="0" w:after="100" w:line="276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sz w:val="21"/>
          <w:szCs w:val="21"/>
        </w:rPr>
        <w:t>工具判定根 pom.xml 为 apache-2.0 AND (cddl-1.0 AND cddl-1.1 AND mpl-2.0)。实际是第 546–549 行的 Maven 排除配置：</w:t>
      </w:r>
    </w:p>
    <w:p w14:paraId="4CAEBBE8">
      <w:pPr>
        <w:shd w:val="clear" w:fill="F5F5F0"/>
        <w:spacing w:before="60" w:after="120" w:line="240" w:lineRule="auto"/>
        <w:ind w:left="227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sz w:val="21"/>
          <w:szCs w:val="21"/>
        </w:rPr>
        <w:t>&lt;exclude&gt;lang/java/tools/src/main/resources/META-INF/cddl-1.0.text&lt;/exclude&gt;</w:t>
      </w:r>
      <w:r>
        <w:rPr>
          <w:rFonts w:hint="eastAsia" w:ascii="Times New Roman" w:hAnsi="Times New Roman" w:eastAsia="宋体" w:cs="宋体"/>
          <w:b w:val="0"/>
          <w:sz w:val="21"/>
          <w:szCs w:val="21"/>
        </w:rPr>
        <w:br w:type="textWrapping"/>
      </w:r>
      <w:r>
        <w:rPr>
          <w:rFonts w:hint="eastAsia" w:ascii="Times New Roman" w:hAnsi="Times New Roman" w:eastAsia="宋体" w:cs="宋体"/>
          <w:b w:val="0"/>
          <w:sz w:val="21"/>
          <w:szCs w:val="21"/>
        </w:rPr>
        <w:t>&lt;exclude&gt;lang/java/tools/src/main/resources/META-INF/cddl-1.1.text&lt;/exclude&gt;</w:t>
      </w:r>
      <w:r>
        <w:rPr>
          <w:rFonts w:hint="eastAsia" w:ascii="Times New Roman" w:hAnsi="Times New Roman" w:eastAsia="宋体" w:cs="宋体"/>
          <w:b w:val="0"/>
          <w:sz w:val="21"/>
          <w:szCs w:val="21"/>
        </w:rPr>
        <w:br w:type="textWrapping"/>
      </w:r>
      <w:r>
        <w:rPr>
          <w:rFonts w:hint="eastAsia" w:ascii="Times New Roman" w:hAnsi="Times New Roman" w:eastAsia="宋体" w:cs="宋体"/>
          <w:b w:val="0"/>
          <w:sz w:val="21"/>
          <w:szCs w:val="21"/>
        </w:rPr>
        <w:t>&lt;exclude&gt;lang/java/tools/src/main/resources/META-INF/mpl-2.0.text&lt;/exclude&gt;</w:t>
      </w:r>
    </w:p>
    <w:p w14:paraId="2B6D5A9D">
      <w:pPr>
        <w:spacing w:before="0" w:after="100" w:line="276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sz w:val="21"/>
          <w:szCs w:val="21"/>
        </w:rPr>
        <w:t>含义是“检查许可证头时排除这些文件”。工具看不到 &lt;exclude&gt; 标签，只看到文件名中的许可证字样，用 spdx_license_id_* 规则各命中 3 个词元，再用 AND 连成项目许可证。</w:t>
      </w:r>
    </w:p>
    <w:p w14:paraId="270D7D6A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三重错误：上下文丢失——把配置项内容当作声明内容，工具能判断字符像哪个许可证，无法判断它在结构中扮演什么角色；运算符误用——AND 表示必须同时满足，而项目不可能同时适用 CDDL-1.0 与 MPL-2.0；结论反转——CDDL 与 GPL 不兼容，照此会导出“不得与 GPL 系组件组合”的错误建议。</w:t>
      </w:r>
    </w:p>
    <w:p w14:paraId="54098D14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sz w:val="21"/>
          <w:szCs w:val="21"/>
        </w:rPr>
        <w:t>AND 本身无误——NullSafeComparator.java 检出 apache-2.0 AND lgpl-2.1 是正确用法，该文件从 Spring 复制并保留了两方声明。问题不在运算符，在工具判断不出语义。</w:t>
      </w:r>
    </w:p>
    <w:p w14:paraId="3C7D783A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sz w:val="21"/>
          <w:szCs w:val="21"/>
        </w:rPr>
      </w:pPr>
    </w:p>
    <w:p w14:paraId="41C0A4BD">
      <w:pPr>
        <w:widowControl/>
        <w:jc w:val="left"/>
        <w:rPr>
          <w:rFonts w:hint="eastAsia" w:ascii="仿宋_GB2312" w:hAnsi="宋体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仿宋_GB2312"/>
          <w:b/>
          <w:bCs/>
          <w:sz w:val="24"/>
          <w:szCs w:val="24"/>
          <w:lang w:val="en-US" w:eastAsia="zh-CN"/>
        </w:rPr>
        <w:t>4.4 对账与结论</w:t>
      </w:r>
    </w:p>
    <w:p w14:paraId="370A0610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LICENSE.txt 的 8 个第三方条目，扫描 10 项全部命中，无遗漏无错配。其中 jQuery v1.4.2 一条值得注意：它是 MIT / GPL-2.0 双许可，LICENSE.txt 第 339 行写明“Both are included under the terms of the MIT license”，即 Avro 选择 MIT 分支，扫描正确保留了 OR 语义而未合并为 AND。</w:t>
      </w:r>
    </w:p>
    <w:p w14:paraId="7589DECC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同一工具在 `LICENSE.txt` 上 10/10 准确，在 `pom.xml` 上严重误判——差别不在精度，而在输入文本的语义结构：前者是许可证的规范载体，后者是引用许可证名的配置文件。</w:t>
      </w:r>
    </w:p>
    <w:p w14:paraId="0E8D10EC">
      <w:pPr>
        <w:spacing w:before="0" w:after="100" w:line="276" w:lineRule="auto"/>
        <w:ind w:firstLine="42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宋体"/>
          <w:b w:val="0"/>
          <w:bCs w:val="0"/>
          <w:sz w:val="21"/>
          <w:szCs w:val="21"/>
        </w:rPr>
        <w:t>结论三点。其一，文本匹配精度高但语义理解为零：cddl-1.0.text 一次哈希命中 2653 词元，却分不清正文、名称与文件名。其二，输出须按证据强度分级：按第一层统计，Avro 实际涉及 Apache-2.0、BSD-3-Clause、MIT、Public Domain、CDDL、MPL、OFL、LGPL-2.1，后几项各有明确限定范围（打包进 avro-tools 的依赖文本、字体、单个测试类）。其三，工具的定位是缩小人工复核范围——把 2190 个文件压缩成几处需人判断的地方，而非给出合规结论。</w:t>
      </w:r>
    </w:p>
    <w:p w14:paraId="10BC707B">
      <w:pPr>
        <w:spacing w:before="0" w:after="100" w:line="276" w:lineRule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18231CBA">
      <w:pPr>
        <w:widowControl/>
        <w:jc w:val="left"/>
        <w:rPr>
          <w:rFonts w:hint="default" w:ascii="仿宋_GB2312" w:hAnsi="宋体" w:eastAsia="仿宋_GB2312" w:cs="仿宋_GB2312"/>
          <w:b/>
          <w:bCs/>
          <w:sz w:val="24"/>
          <w:szCs w:val="24"/>
          <w:lang w:val="en-US" w:eastAsia="zh-CN"/>
        </w:rPr>
      </w:pPr>
    </w:p>
    <w:p w14:paraId="26DABCFD">
      <w:pPr>
        <w:widowControl/>
        <w:jc w:val="left"/>
        <w:rPr>
          <w:rFonts w:hint="eastAsia" w:ascii="宋体" w:hAnsi="宋体" w:eastAsia="宋体" w:cs="宋体"/>
          <w:b w:val="0"/>
          <w:sz w:val="21"/>
          <w:lang w:eastAsia="zh-CN"/>
        </w:rPr>
      </w:pPr>
    </w:p>
    <w:p w14:paraId="080ED308">
      <w:pPr>
        <w:widowControl/>
        <w:jc w:val="left"/>
        <w:rPr>
          <w:rFonts w:hint="eastAsia"/>
          <w:b w:val="0"/>
          <w:sz w:val="21"/>
          <w:lang w:eastAsia="zh-CN"/>
        </w:rPr>
      </w:pPr>
    </w:p>
    <w:p w14:paraId="26117E34">
      <w:pPr>
        <w:widowControl/>
        <w:jc w:val="left"/>
        <w:rPr>
          <w:rFonts w:hint="eastAsia"/>
          <w:b w:val="0"/>
          <w:sz w:val="21"/>
          <w:lang w:eastAsia="zh-CN"/>
        </w:rPr>
      </w:pPr>
    </w:p>
    <w:p w14:paraId="6812789B">
      <w:pPr>
        <w:widowControl/>
        <w:spacing w:line="300" w:lineRule="auto"/>
        <w:jc w:val="left"/>
        <w:rPr>
          <w:rFonts w:ascii="仿宋_GB2312" w:hAnsi="宋体" w:eastAsia="仿宋_GB2312"/>
          <w:sz w:val="24"/>
          <w:szCs w:val="24"/>
        </w:rPr>
      </w:pPr>
    </w:p>
    <w:p w14:paraId="27A9C28E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p w14:paraId="369978CF">
      <w:pPr>
        <w:widowControl/>
        <w:jc w:val="left"/>
        <w:rPr>
          <w:rFonts w:ascii="仿宋_GB2312" w:hAnsi="宋体" w:eastAsia="仿宋_GB2312"/>
          <w:sz w:val="24"/>
          <w:szCs w:val="2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8BC7205">
      <w:pPr>
        <w:widowControl/>
        <w:jc w:val="left"/>
        <w:rPr>
          <w:rFonts w:ascii="仿宋_GB2312" w:hAnsi="宋体" w:eastAsia="仿宋_GB2312"/>
          <w:sz w:val="24"/>
          <w:szCs w:val="24"/>
        </w:rPr>
      </w:pPr>
      <w:r>
        <w:rPr>
          <w:rFonts w:hint="eastAsia" w:ascii="Times New Roman" w:hAnsi="Times New Roman" w:eastAsia="仿宋_GB2312" w:cs="仿宋_GB2312"/>
          <w:sz w:val="24"/>
          <w:szCs w:val="24"/>
        </w:rPr>
        <w:t>评价表格：</w:t>
      </w:r>
    </w:p>
    <w:tbl>
      <w:tblPr>
        <w:tblStyle w:val="6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/>
              <w:jc w:val="center"/>
              <w:rPr>
                <w:rFonts w:ascii="仿宋" w:hAnsi="仿宋" w:eastAsia="仿宋"/>
                <w:b/>
                <w:bCs/>
                <w:kern w:val="0"/>
              </w:rPr>
            </w:pPr>
            <w:r>
              <w:rPr>
                <w:rFonts w:hint="eastAsia" w:ascii="Times New Roman" w:hAnsi="Times New Roman" w:eastAsia="仿宋" w:cs="仿宋"/>
                <w:b/>
                <w:bCs/>
                <w:kern w:val="0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Times New Roman" w:hAnsi="Times New Roman" w:eastAsia="仿宋" w:cs="仿宋"/>
                <w:kern w:val="0"/>
              </w:rPr>
              <w:t>（</w:t>
            </w:r>
            <w:r>
              <w:rPr>
                <w:rFonts w:ascii="Times New Roman" w:hAnsi="Times New Roman" w:eastAsia="仿宋" w:cs="仿宋"/>
                <w:kern w:val="0"/>
              </w:rPr>
              <w:t>1</w:t>
            </w:r>
            <w:r>
              <w:rPr>
                <w:rFonts w:hint="eastAsia" w:ascii="Times New Roman" w:hAnsi="Times New Roman" w:eastAsia="仿宋" w:cs="仿宋"/>
                <w:kern w:val="0"/>
              </w:rPr>
              <w:t>）报告格式规范、语言通顺（</w:t>
            </w:r>
            <w:r>
              <w:rPr>
                <w:rFonts w:ascii="Times New Roman" w:hAnsi="Times New Roman" w:eastAsia="仿宋" w:cs="仿宋"/>
                <w:kern w:val="0"/>
              </w:rPr>
              <w:t>10%</w:t>
            </w:r>
            <w:r>
              <w:rPr>
                <w:rFonts w:hint="eastAsia" w:ascii="Times New Roman" w:hAnsi="Times New Roman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Times New Roman" w:hAnsi="Times New Roman" w:eastAsia="仿宋" w:cs="仿宋"/>
                <w:kern w:val="0"/>
              </w:rPr>
              <w:t>（</w:t>
            </w:r>
            <w:r>
              <w:rPr>
                <w:rFonts w:ascii="Times New Roman" w:hAnsi="Times New Roman" w:eastAsia="仿宋" w:cs="仿宋"/>
                <w:kern w:val="0"/>
              </w:rPr>
              <w:t>2</w:t>
            </w:r>
            <w:r>
              <w:rPr>
                <w:rFonts w:hint="eastAsia" w:ascii="Times New Roman" w:hAnsi="Times New Roman" w:eastAsia="仿宋" w:cs="仿宋"/>
                <w:kern w:val="0"/>
              </w:rPr>
              <w:t>）质量标准分析合理（1</w:t>
            </w:r>
            <w:r>
              <w:rPr>
                <w:rFonts w:ascii="Times New Roman" w:hAnsi="Times New Roman" w:eastAsia="仿宋" w:cs="仿宋"/>
                <w:kern w:val="0"/>
              </w:rPr>
              <w:t>0%</w:t>
            </w:r>
            <w:r>
              <w:rPr>
                <w:rFonts w:hint="eastAsia" w:ascii="Times New Roman" w:hAnsi="Times New Roman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345EE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Times New Roman" w:hAnsi="Times New Roman" w:eastAsia="仿宋" w:cs="仿宋"/>
                <w:kern w:val="0"/>
              </w:rPr>
              <w:t>（</w:t>
            </w:r>
            <w:r>
              <w:rPr>
                <w:rFonts w:ascii="Times New Roman" w:hAnsi="Times New Roman" w:eastAsia="仿宋" w:cs="仿宋"/>
                <w:kern w:val="0"/>
              </w:rPr>
              <w:t>3</w:t>
            </w:r>
            <w:r>
              <w:rPr>
                <w:rFonts w:hint="eastAsia" w:ascii="Times New Roman" w:hAnsi="Times New Roman" w:eastAsia="仿宋" w:cs="仿宋"/>
                <w:kern w:val="0"/>
              </w:rPr>
              <w:t>）测试方法分析全面、合理（</w:t>
            </w:r>
            <w:r>
              <w:rPr>
                <w:rFonts w:ascii="Times New Roman" w:hAnsi="Times New Roman" w:eastAsia="仿宋" w:cs="仿宋"/>
                <w:kern w:val="0"/>
              </w:rPr>
              <w:t>20%</w:t>
            </w:r>
            <w:r>
              <w:rPr>
                <w:rFonts w:hint="eastAsia" w:ascii="Times New Roman" w:hAnsi="Times New Roman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Times New Roman" w:hAnsi="Times New Roman" w:eastAsia="仿宋" w:cs="仿宋"/>
                <w:kern w:val="0"/>
              </w:rPr>
              <w:t>（</w:t>
            </w:r>
            <w:r>
              <w:rPr>
                <w:rFonts w:ascii="Times New Roman" w:hAnsi="Times New Roman" w:eastAsia="仿宋" w:cs="仿宋"/>
                <w:kern w:val="0"/>
              </w:rPr>
              <w:t>4</w:t>
            </w:r>
            <w:r>
              <w:rPr>
                <w:rFonts w:hint="eastAsia" w:ascii="Times New Roman" w:hAnsi="Times New Roman" w:eastAsia="仿宋" w:cs="仿宋"/>
                <w:kern w:val="0"/>
              </w:rPr>
              <w:t>）测试风险分析全面、合理（</w:t>
            </w:r>
            <w:r>
              <w:rPr>
                <w:rFonts w:ascii="Times New Roman" w:hAnsi="Times New Roman" w:eastAsia="仿宋" w:cs="仿宋"/>
                <w:kern w:val="0"/>
              </w:rPr>
              <w:t>20%</w:t>
            </w:r>
            <w:r>
              <w:rPr>
                <w:rFonts w:hint="eastAsia" w:ascii="Times New Roman" w:hAnsi="Times New Roman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Times New Roman" w:hAnsi="Times New Roman" w:eastAsia="仿宋" w:cs="仿宋"/>
                <w:kern w:val="0"/>
              </w:rPr>
              <w:t>（</w:t>
            </w:r>
            <w:r>
              <w:rPr>
                <w:rFonts w:ascii="Times New Roman" w:hAnsi="Times New Roman" w:eastAsia="仿宋" w:cs="仿宋"/>
                <w:kern w:val="0"/>
              </w:rPr>
              <w:t>5</w:t>
            </w:r>
            <w:r>
              <w:rPr>
                <w:rFonts w:hint="eastAsia" w:ascii="Times New Roman" w:hAnsi="Times New Roman" w:eastAsia="仿宋" w:cs="仿宋"/>
                <w:kern w:val="0"/>
              </w:rPr>
              <w:t>）测试总体测试策略全面、合理（3</w:t>
            </w:r>
            <w:r>
              <w:rPr>
                <w:rFonts w:ascii="Times New Roman" w:hAnsi="Times New Roman" w:eastAsia="仿宋" w:cs="仿宋"/>
                <w:kern w:val="0"/>
              </w:rPr>
              <w:t>0%</w:t>
            </w:r>
            <w:r>
              <w:rPr>
                <w:rFonts w:hint="eastAsia" w:ascii="Times New Roman" w:hAnsi="Times New Roman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79" w:type="dxa"/>
          </w:tcPr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Times New Roman" w:hAnsi="Times New Roman" w:eastAsia="仿宋" w:cs="仿宋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>
            <w:pPr>
              <w:widowControl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/>
        <w:jc w:val="left"/>
        <w:rPr>
          <w:rFonts w:ascii="仿宋_GB2312" w:hAnsi="宋体" w:eastAsia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1C63E56"/>
    <w:rsid w:val="027C51A5"/>
    <w:rsid w:val="05F15D1D"/>
    <w:rsid w:val="0695635D"/>
    <w:rsid w:val="0C620734"/>
    <w:rsid w:val="12FD788F"/>
    <w:rsid w:val="1A101EFF"/>
    <w:rsid w:val="1AB55DD4"/>
    <w:rsid w:val="1C787CA6"/>
    <w:rsid w:val="23E65FFA"/>
    <w:rsid w:val="26E87E78"/>
    <w:rsid w:val="32FB6306"/>
    <w:rsid w:val="36034403"/>
    <w:rsid w:val="38DD575A"/>
    <w:rsid w:val="39237EB6"/>
    <w:rsid w:val="3BDF39ED"/>
    <w:rsid w:val="3D775432"/>
    <w:rsid w:val="47351CE1"/>
    <w:rsid w:val="4C987DD0"/>
    <w:rsid w:val="55C406E5"/>
    <w:rsid w:val="5BC86423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2390</Words>
  <Characters>3988</Characters>
  <Lines>3</Lines>
  <Paragraphs>1</Paragraphs>
  <TotalTime>10</TotalTime>
  <ScaleCrop>false</ScaleCrop>
  <LinksUpToDate>false</LinksUpToDate>
  <CharactersWithSpaces>4335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2023-08-22T04:51:00Z</dcterms:created>
  <dc:creator>微软用户</dc:creator>
  <cp:lastModifiedBy>WPS_1756722929</cp:lastModifiedBy>
  <dcterms:modified xsi:type="dcterms:W3CDTF">2026-10-29T12:17:05Z</dcterms:modified>
  <dc:title>课程编号：B0801*****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2052-12.1.0.28599</vt:lpwstr>
  </property>
  <property fmtid="{D5CDD505-2E9C-101B-9397-08002B2CF9AE}" pid="3" name="KSOTemplateDocerSaveRecord">
    <vt:lpwstr>eyJoZGlkIjoiMWJmYmVhMGQ2YWQwOTc0ZDFkYmVkZTE0NzFkNThlYzIiLCJ1c2VySWQiOiIxNzM2MDMzNzM1In0=</vt:lpwstr>
  </property>
  <property fmtid="{D5CDD505-2E9C-101B-9397-08002B2CF9AE}" pid="4" name="ICV">
    <vt:lpwstr>6FB37DFACD664CF3A9F3E79F38E06A2E_13</vt:lpwstr>
  </property>
</Properties>
</file>