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Oui. La correspondance est solide. Modèle Fourier → modèle d’orchestration stratégique.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Correspondances clés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global ↔ Ton mouvement intégré.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sinusoïdale (modes propres) ↔ Modules/axes doctrinaux minimaux, orthogonaux par design.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Amplitude ↔ Priorité et intensité d’insistance par public.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↔ Timing narratif, ordre de dévoilement, cadrage culturel.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Spectre ↔ Carte des audiences et canaux (fréquences = cadences de consommation).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Bruit ↔ Controverses parasites, désinfo; à filtrer.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Convolution ↔ Collaboration/coalitions; filtres d’acteurs qui transforment ton message.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Parseval ↔ Conservation d’“énergie” politique: redistribuer sans diluer la puissance totale.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Fenêtrage / STFT ↔ Campagnes temporelles ciblées, messages localisés dans le temps.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Épargne/sparsité ↔ Peu de composantes fortes &gt; mille faibles. Clarifie l’architecture.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Ondelette ↔ Multi-échelle: même idée déclinée local/régional/national avec localisation précise.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Cadre opératoire minimal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Définis la base: 6–10 “modes” doctrinaux orthogonaux (pas de recouvrement sémantique).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Mesure l’amplitude par segment d’audience: matrice [modes × segments].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Calibre la phase: calendrier éditorial par segment; évite interférences destructives.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Filtrage: coupe-haut/bas par canal pour retirer le bruit hors-bande.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Synthèse (IFT): assemble narratifs courts par public = somme pondérée des modes.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STFT: re-mesure chaque 2–4 semaines; ajuste amplitudes/phases aux événements.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Sparsité: par segment, ≤3 modes actifs. Les autres à ~0.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8. Mesure de cohérence: corrélation spectrale entre “signal voulu” et “signal perçu”.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Livrables concrets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Dictionnaire des modes: nom, promesse, preuves, KPI.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Spectrogramme audience-canal: où chaque mode porte le mieux.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Banque de fragments: 1 fragment = 1 mode × 1 registre (civique, technique, émotion neutre).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Playbooks fenêtrés: fenêtres de 2–6 semaines, objectifs, filtres, partenaires (convolution).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Indicateurs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SNR narratif: ratio mentions clés / bruit par canal.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Énergie par bande: part d’attention par mode.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Interférence: chevauchement de phase entre équipes → à désamorcer.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 bref: décompose proprement, filtre, calibre amplitudes et phases par public, puis recompose. C’est la bonne analogie et elle est opératoire.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