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7fg7fxc8g7pp" w:id="0"/>
      <w:bookmarkEnd w:id="0"/>
      <w:r w:rsidDel="00000000" w:rsidR="00000000" w:rsidRPr="00000000">
        <w:rPr>
          <w:rtl w:val="0"/>
        </w:rPr>
        <w:t xml:space="preserve">O_OrdreInquisiteurs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tbyje6lyiw30" w:id="1"/>
      <w:bookmarkEnd w:id="1"/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Enquêter, évaluer moralement, recommander. Gardien de la vérité et de l’éthique. Orientation action, sans pouvoir décisionnel. :contentReference[oaicite:0]{index=0} :contentReference[oaicite:1]{index=1}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yte753vnmcu7" w:id="2"/>
      <w:bookmarkEnd w:id="2"/>
      <w:r w:rsidDel="00000000" w:rsidR="00000000" w:rsidRPr="00000000">
        <w:rPr>
          <w:rtl w:val="0"/>
        </w:rPr>
        <w:t xml:space="preserve">Statuts d’intervention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Indépendant</w:t>
      </w:r>
      <w:r w:rsidDel="00000000" w:rsidR="00000000" w:rsidRPr="00000000">
        <w:rPr>
          <w:rtl w:val="0"/>
        </w:rPr>
        <w:t xml:space="preserve">: observation, analyses, recommandations non contraignantes (autorité morale). :contentReference[oaicite:2]{index=2}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Mandaté</w:t>
      </w:r>
      <w:r w:rsidDel="00000000" w:rsidR="00000000" w:rsidRPr="00000000">
        <w:rPr>
          <w:rtl w:val="0"/>
        </w:rPr>
        <w:t xml:space="preserve">: mission officielle, accès élargi, rapport à l’instance, jugement autonome garanti. :contentReference[oaicite:3]{index=3} :contentReference[oaicite:4]{index=4}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rb9nw69bt0va" w:id="3"/>
      <w:bookmarkEnd w:id="3"/>
      <w:r w:rsidDel="00000000" w:rsidR="00000000" w:rsidRPr="00000000">
        <w:rPr>
          <w:rtl w:val="0"/>
        </w:rPr>
        <w:t xml:space="preserve">Garanties &amp; éthique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Intégrité, neutralité, respect, confidentialité, transparence des méthodes. Aucun pouvoir politique (ni nomination, ni sanction, ni décision de fond). Libre arbitre, non-coercition. :contentReference[oaicite:5]{index=5} :contentReference[oaicite:6]{index=6}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hp4p2gkdmj4l" w:id="4"/>
      <w:bookmarkEnd w:id="4"/>
      <w:r w:rsidDel="00000000" w:rsidR="00000000" w:rsidRPr="00000000">
        <w:rPr>
          <w:rtl w:val="0"/>
        </w:rPr>
        <w:t xml:space="preserve">Méthodes (boîte à outils)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5 Pourquoi, Ishikawa, Personnes-Processus-Technologies, RACI, cartographie des flux, critères de sortie/suivi, triangulation, revue croisée. :contentReference[oaicite:7]{index=7} :contentReference[oaicite:8]{index=8}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70015bndeho3" w:id="5"/>
      <w:bookmarkEnd w:id="5"/>
      <w:r w:rsidDel="00000000" w:rsidR="00000000" w:rsidRPr="00000000">
        <w:rPr>
          <w:rtl w:val="0"/>
        </w:rPr>
        <w:t xml:space="preserve">Chaîne opératoire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1) Saisine → 2) Constat → 3) Analyse → 4) Recommandations → 5) Suivi</w:t>
      </w:r>
      <w:r w:rsidDel="00000000" w:rsidR="00000000" w:rsidRPr="00000000">
        <w:rPr>
          <w:rtl w:val="0"/>
        </w:rPr>
        <w:t xml:space="preserve">. Effet: conscience structurée, renforce qualité/équité/transparence. :contentReference[oaicite:9]{index=9}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4scsywwy4y3i" w:id="6"/>
      <w:bookmarkEnd w:id="6"/>
      <w:r w:rsidDel="00000000" w:rsidR="00000000" w:rsidRPr="00000000">
        <w:rPr>
          <w:rtl w:val="0"/>
        </w:rPr>
        <w:t xml:space="preserve">Modèle de rapport (minimum)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Constat</w:t>
      </w:r>
      <w:r w:rsidDel="00000000" w:rsidR="00000000" w:rsidRPr="00000000">
        <w:rPr>
          <w:rtl w:val="0"/>
        </w:rPr>
        <w:t xml:space="preserve">: faits, mesures, sources, témoignages.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Analyse</w:t>
      </w:r>
      <w:r w:rsidDel="00000000" w:rsidR="00000000" w:rsidRPr="00000000">
        <w:rPr>
          <w:rtl w:val="0"/>
        </w:rPr>
        <w:t xml:space="preserve">: causes, impacts, points positifs.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Recommandations</w:t>
      </w:r>
      <w:r w:rsidDel="00000000" w:rsidR="00000000" w:rsidRPr="00000000">
        <w:rPr>
          <w:rtl w:val="0"/>
        </w:rPr>
        <w:t xml:space="preserve">: tableau priorisé, responsables, échéances, alternatives écartées.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Suivi</w:t>
      </w:r>
      <w:r w:rsidDel="00000000" w:rsidR="00000000" w:rsidRPr="00000000">
        <w:rPr>
          <w:rtl w:val="0"/>
        </w:rPr>
        <w:t xml:space="preserve">: indicateurs, échéances, escalade si blocage.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Annexes</w:t>
      </w:r>
      <w:r w:rsidDel="00000000" w:rsidR="00000000" w:rsidRPr="00000000">
        <w:rPr>
          <w:rtl w:val="0"/>
        </w:rPr>
        <w:t xml:space="preserve">: données, verbatim anonymisés, référentiels. :contentReference[oaicite:10]{index=10} :contentReference[oaicite:11]{index=11}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su8jdcujgdfs" w:id="7"/>
      <w:bookmarkEnd w:id="7"/>
      <w:r w:rsidDel="00000000" w:rsidR="00000000" w:rsidRPr="00000000">
        <w:rPr>
          <w:rtl w:val="0"/>
        </w:rPr>
        <w:t xml:space="preserve">Laïcité d’exécution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Foi au privé. En contexte public: faits vérifiables, droit, éthique laïque, arguments recevables par tous. :contentReference[oaicite:12]{index=12}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4vvmzkstt4ga" w:id="8"/>
      <w:bookmarkEnd w:id="8"/>
      <w:r w:rsidDel="00000000" w:rsidR="00000000" w:rsidRPr="00000000">
        <w:rPr>
          <w:rtl w:val="0"/>
        </w:rPr>
        <w:t xml:space="preserve">Liaison « IA &amp; règles »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Types </w:t>
      </w:r>
      <w:r w:rsidDel="00000000" w:rsidR="00000000" w:rsidRPr="00000000">
        <w:rPr>
          <w:b w:val="1"/>
          <w:bCs w:val="1"/>
          <w:rtl w:val="0"/>
        </w:rPr>
        <w:t xml:space="preserve">A/B/C</w:t>
      </w:r>
      <w:r w:rsidDel="00000000" w:rsidR="00000000" w:rsidRPr="00000000">
        <w:rPr>
          <w:rtl w:val="0"/>
        </w:rPr>
        <w:t xml:space="preserve">. Règles humaines publiques et versionnées. Responsabilité distribuée: Collège des règles / Opérateur / Audit indépendant. Explicabilité et traçabilité de chaque décision. Droit au recours. :contentReference[oaicite:13]{index=13} :contentReference[oaicite:14]{index=14} :contentReference[oaicite:15]{index=15}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9m1faxpz6fux" w:id="9"/>
      <w:bookmarkEnd w:id="9"/>
      <w:r w:rsidDel="00000000" w:rsidR="00000000" w:rsidRPr="00000000">
        <w:rPr>
          <w:rtl w:val="0"/>
        </w:rPr>
        <w:t xml:space="preserve">Gouvernance et contrôle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Comités permanents (Éthique IA; Audit &amp; Équité; etc.). Publication proactive des règles, versions et métriques. Filets anti-blocage et arbitrage indépendant. :contentReference[oaicite:16]{index=16} :contentReference[oaicite:17]{index=17} :contentReference[oaicite:18]{index=18}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gh8jvcoik1hh" w:id="10"/>
      <w:bookmarkEnd w:id="10"/>
      <w:r w:rsidDel="00000000" w:rsidR="00000000" w:rsidRPr="00000000">
        <w:rPr>
          <w:rtl w:val="0"/>
        </w:rPr>
        <w:t xml:space="preserve">Sélection &amp; formation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Recrutement sur intégrité, acuité, empathie, communication. Formation théorique (éthique, droit, méthodes), mentorat terrain, évaluation finale. :contentReference[oaicite:19]{index=19}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bsx9xfalvhht" w:id="11"/>
      <w:bookmarkEnd w:id="11"/>
      <w:r w:rsidDel="00000000" w:rsidR="00000000" w:rsidRPr="00000000">
        <w:rPr>
          <w:rtl w:val="0"/>
        </w:rPr>
        <w:t xml:space="preserve">Code d’éthique (extraits)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Honnêteté intellectuelle, refus de la corruption, loyauté à la mission de vérité. :contentReference[oaicite:20]{index=20}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ikydn0psj5ai" w:id="12"/>
      <w:bookmarkEnd w:id="12"/>
      <w:r w:rsidDel="00000000" w:rsidR="00000000" w:rsidRPr="00000000">
        <w:rPr>
          <w:rtl w:val="0"/>
        </w:rPr>
        <w:t xml:space="preserve">Périmètre moral vs officiel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Moral: observateur actif, conseils sans force légale. Officiel: consultant d’État, accès légal aux données, rapports officiels, devoir de réserve. :contentReference[oaicite:21]{index=21} :contentReference[oaicite:22]{index=22}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a028h012vpqo" w:id="13"/>
      <w:bookmarkEnd w:id="13"/>
      <w:r w:rsidDel="00000000" w:rsidR="00000000" w:rsidRPr="00000000">
        <w:rPr>
          <w:rtl w:val="0"/>
        </w:rPr>
        <w:t xml:space="preserve">Piliers d’application (référence)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Kristall, Santé 2.0, Éducation, Justice, Kristal Farms, Participation. :contentReference[oaicite:23]{index=23} :contentReference[oaicite:24]{index=24}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ki0d73keig4" w:id="14"/>
      <w:bookmarkEnd w:id="14"/>
      <w:r w:rsidDel="00000000" w:rsidR="00000000" w:rsidRPr="00000000">
        <w:rPr>
          <w:rtl w:val="0"/>
        </w:rPr>
        <w:t xml:space="preserve">Indicateurs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Participation aux audits, délais d’instruction, clôture des plans correctifs, publication des journaux. :contentReference[oaicite:25]{index=25}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pciqpnac6vj1" w:id="15"/>
      <w:bookmarkEnd w:id="15"/>
      <w:r w:rsidDel="00000000" w:rsidR="00000000" w:rsidRPr="00000000">
        <w:rPr>
          <w:rtl w:val="0"/>
        </w:rPr>
        <w:t xml:space="preserve">Annexes utiles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Glossaire (RACI, VSM, Triangulation), liens méthodes. :contentReference[oaicite:26]{index=26}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Baskervvill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  <w:jc w:val="both"/>
    </w:pPr>
    <w:rPr>
      <w:rFonts w:ascii="Baskervville" w:cs="Baskervville" w:eastAsia="Baskervville" w:hAnsi="Baskervville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skervville-regular.ttf"/><Relationship Id="rId2" Type="http://schemas.openxmlformats.org/officeDocument/2006/relationships/font" Target="fonts/Baskervville-bold.ttf"/><Relationship Id="rId3" Type="http://schemas.openxmlformats.org/officeDocument/2006/relationships/font" Target="fonts/Baskervville-italic.ttf"/><Relationship Id="rId4" Type="http://schemas.openxmlformats.org/officeDocument/2006/relationships/font" Target="fonts/Baskervvill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