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rty97gkpsdm" w:id="0"/>
      <w:bookmarkEnd w:id="0"/>
      <w:r w:rsidDel="00000000" w:rsidR="00000000" w:rsidRPr="00000000">
        <w:rPr>
          <w:rtl w:val="0"/>
        </w:rPr>
        <w:t xml:space="preserve">O_kOA_Platform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xlgjkmwo8m5" w:id="1"/>
      <w:bookmarkEnd w:id="1"/>
      <w:r w:rsidDel="00000000" w:rsidR="00000000" w:rsidRPr="00000000">
        <w:rPr>
          <w:rtl w:val="0"/>
        </w:rPr>
        <w:t xml:space="preserve">Objet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Plateforme intégrée. Modules interopérables. Mérite+éthique traçables. Décisions expliquées. :contentReference[oaicite:0]{index=0}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for95uxjq7u" w:id="2"/>
      <w:bookmarkEnd w:id="2"/>
      <w:r w:rsidDel="00000000" w:rsidR="00000000" w:rsidRPr="00000000">
        <w:rPr>
          <w:rtl w:val="0"/>
        </w:rPr>
        <w:t xml:space="preserve">Vue d’ensemble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Konnaxion</w:t>
      </w:r>
      <w:r w:rsidDel="00000000" w:rsidR="00000000" w:rsidRPr="00000000">
        <w:rPr>
          <w:rtl w:val="0"/>
        </w:rPr>
        <w:t xml:space="preserve">: socle de collaboration et de savoir. Écosystème modulaire et cohésif. :contentReference[oaicite:1]{index=1}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EkoH</w:t>
      </w:r>
      <w:r w:rsidDel="00000000" w:rsidR="00000000" w:rsidRPr="00000000">
        <w:rPr>
          <w:rtl w:val="0"/>
        </w:rPr>
        <w:t xml:space="preserve">: registrariat transversal. Profil vivant de </w:t>
      </w:r>
      <w:r w:rsidDel="00000000" w:rsidR="00000000" w:rsidRPr="00000000">
        <w:rPr>
          <w:b w:val="1"/>
          <w:bCs w:val="1"/>
          <w:rtl w:val="0"/>
        </w:rPr>
        <w:t xml:space="preserve">mérite</w:t>
      </w:r>
      <w:r w:rsidDel="00000000" w:rsidR="00000000" w:rsidRPr="00000000">
        <w:rPr>
          <w:rtl w:val="0"/>
        </w:rPr>
        <w:t xml:space="preserve"> par domaine + </w:t>
      </w:r>
      <w:r w:rsidDel="00000000" w:rsidR="00000000" w:rsidRPr="00000000">
        <w:rPr>
          <w:b w:val="1"/>
          <w:bCs w:val="1"/>
          <w:rtl w:val="0"/>
        </w:rPr>
        <w:t xml:space="preserve">éthique</w:t>
      </w:r>
      <w:r w:rsidDel="00000000" w:rsidR="00000000" w:rsidRPr="00000000">
        <w:rPr>
          <w:rtl w:val="0"/>
        </w:rPr>
        <w:t xml:space="preserve">. Traçable. Appels. Alimente tous les modules. :contentReference[oaicite:2]{index=2} :contentReference[oaicite:3]{index=3} :contentReference[oaicite:4]{index=4}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Smart Vote</w:t>
      </w:r>
      <w:r w:rsidDel="00000000" w:rsidR="00000000" w:rsidRPr="00000000">
        <w:rPr>
          <w:rtl w:val="0"/>
        </w:rPr>
        <w:t xml:space="preserve">: mécanisme de décision. Voix de base 1. Pondération par pertinence (tags) et éthique. Lectures publiées. Journal d’audit. :contentReference[oaicite:5]{index=5} :contentReference[oaicite:6]{index=6} :contentReference[oaicite:7]{index=7}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KonnectED / keenKonnect / Ethikos / Kreative</w:t>
      </w:r>
      <w:r w:rsidDel="00000000" w:rsidR="00000000" w:rsidRPr="00000000">
        <w:rPr>
          <w:rtl w:val="0"/>
        </w:rPr>
        <w:t xml:space="preserve">: éducation, innovation, débat, culture. Tous branchés sur EkoH/Smart Vote. :contentReference[oaicite:8]{index=8} :contentReference[oaicite:9]{index=9}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Kristals</w:t>
      </w:r>
      <w:r w:rsidDel="00000000" w:rsidR="00000000" w:rsidRPr="00000000">
        <w:rPr>
          <w:rtl w:val="0"/>
        </w:rPr>
        <w:t xml:space="preserve">: blocs de connaissance ouverts et réutilisables. :contentReference[oaicite:10]{index=10} :contentReference[oaicite:11]{index=11}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Kristal Farms</w:t>
      </w:r>
      <w:r w:rsidDel="00000000" w:rsidR="00000000" w:rsidRPr="00000000">
        <w:rPr>
          <w:rtl w:val="0"/>
        </w:rPr>
        <w:t xml:space="preserve">: infrastructure d’IA verte + bibliothèque Kristals. Bénéfices locaux. Co-gouvernance communautaire. :contentReference[oaicite:12]{index=12} :contentReference[oaicite:13]{index=13} :contentReference[oaicite:14]{index=14} :contentReference[oaicite:15]{index=15}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Kin City</w:t>
      </w:r>
      <w:r w:rsidDel="00000000" w:rsidR="00000000" w:rsidRPr="00000000">
        <w:rPr>
          <w:rtl w:val="0"/>
        </w:rPr>
        <w:t xml:space="preserve">: vitrine immersive de l’écosystème. :contentReference[oaicite:16]{index=16}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nxd5qdf6s2d" w:id="3"/>
      <w:bookmarkEnd w:id="3"/>
      <w:r w:rsidDel="00000000" w:rsidR="00000000" w:rsidRPr="00000000">
        <w:rPr>
          <w:rtl w:val="0"/>
        </w:rPr>
        <w:t xml:space="preserve">Valeurs et garanties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Transparence, équité &amp; inclusion, sobriété réelle, amélioration continue, redevabilité. Publication des règles, versions, journaux, indicateurs. Contestabilité. :contentReference[oaicite:17]{index=17} :contentReference[oaicite:18]{index=18}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iele8yuzm41" w:id="4"/>
      <w:bookmarkEnd w:id="4"/>
      <w:r w:rsidDel="00000000" w:rsidR="00000000" w:rsidRPr="00000000">
        <w:rPr>
          <w:rtl w:val="0"/>
        </w:rPr>
        <w:t xml:space="preserve">Interopérabilité et sécurité (check-list de déploiement)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Interop</w:t>
      </w:r>
      <w:r w:rsidDel="00000000" w:rsidR="00000000" w:rsidRPr="00000000">
        <w:rPr>
          <w:rtl w:val="0"/>
        </w:rPr>
        <w:t xml:space="preserve">: FHIR/HL7/SNOMED/LOINC/ICD-10-CA, OpenAPI/JSON-LD.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Sécurité</w:t>
      </w:r>
      <w:r w:rsidDel="00000000" w:rsidR="00000000" w:rsidRPr="00000000">
        <w:rPr>
          <w:rtl w:val="0"/>
        </w:rPr>
        <w:t xml:space="preserve">: MFA, IAM, chiffrement, sauvegardes, bastions.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Vie privée</w:t>
      </w:r>
      <w:r w:rsidDel="00000000" w:rsidR="00000000" w:rsidRPr="00000000">
        <w:rPr>
          <w:rtl w:val="0"/>
        </w:rPr>
        <w:t xml:space="preserve">: DPIA, minimisation, consentements, registres.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Fiabilité</w:t>
      </w:r>
      <w:r w:rsidDel="00000000" w:rsidR="00000000" w:rsidRPr="00000000">
        <w:rPr>
          <w:rtl w:val="0"/>
        </w:rPr>
        <w:t xml:space="preserve">: canary, rollback, monitoring, SLOs, kill-switch.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</w:t>
      </w:r>
      <w:r w:rsidDel="00000000" w:rsidR="00000000" w:rsidRPr="00000000">
        <w:rPr>
          <w:rtl w:val="0"/>
        </w:rPr>
        <w:t xml:space="preserve">: règles v[ ], recours, FAQ. :contentReference[oaicite:19]{index=19}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1g212j7jmvoo" w:id="5"/>
      <w:bookmarkEnd w:id="5"/>
      <w:r w:rsidDel="00000000" w:rsidR="00000000" w:rsidRPr="00000000">
        <w:rPr>
          <w:rtl w:val="0"/>
        </w:rPr>
        <w:t xml:space="preserve">Mécanique EkoH (essentiel)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Mérite par domaine (preuves, validations, taxonomie). Décroissance si obsolète. Éthique transversale (conduite, conflits déclarés, modération). Traçabilité et appels. Usage transversal. :contentReference[oaicite:20]{index=20} :contentReference[oaicite:21]{index=21}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mxc421hsvqk4" w:id="6"/>
      <w:bookmarkEnd w:id="6"/>
      <w:r w:rsidDel="00000000" w:rsidR="00000000" w:rsidRPr="00000000">
        <w:rPr>
          <w:rtl w:val="0"/>
        </w:rPr>
        <w:t xml:space="preserve">Mécanique Smart Vote (essentiel)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Voix de base 1. Filtre de </w:t>
      </w:r>
      <w:r w:rsidDel="00000000" w:rsidR="00000000" w:rsidRPr="00000000">
        <w:rPr>
          <w:b w:val="1"/>
          <w:bCs w:val="1"/>
          <w:rtl w:val="0"/>
        </w:rPr>
        <w:t xml:space="preserve">pertinence</w:t>
      </w:r>
      <w:r w:rsidDel="00000000" w:rsidR="00000000" w:rsidRPr="00000000">
        <w:rPr>
          <w:rtl w:val="0"/>
        </w:rPr>
        <w:t xml:space="preserve"> par tags. Multiplicateur </w:t>
      </w:r>
      <w:r w:rsidDel="00000000" w:rsidR="00000000" w:rsidRPr="00000000">
        <w:rPr>
          <w:b w:val="1"/>
          <w:bCs w:val="1"/>
          <w:rtl w:val="0"/>
        </w:rPr>
        <w:t xml:space="preserve">éthique</w:t>
      </w:r>
      <w:r w:rsidDel="00000000" w:rsidR="00000000" w:rsidRPr="00000000">
        <w:rPr>
          <w:rtl w:val="0"/>
        </w:rPr>
        <w:t xml:space="preserve">. Formats variés. Publication de la </w:t>
      </w:r>
      <w:r w:rsidDel="00000000" w:rsidR="00000000" w:rsidRPr="00000000">
        <w:rPr>
          <w:b w:val="1"/>
          <w:bCs w:val="1"/>
          <w:rtl w:val="0"/>
        </w:rPr>
        <w:t xml:space="preserve">lecture de référence</w:t>
      </w:r>
      <w:r w:rsidDel="00000000" w:rsidR="00000000" w:rsidRPr="00000000">
        <w:rPr>
          <w:rtl w:val="0"/>
        </w:rPr>
        <w:t xml:space="preserve"> + lectures </w:t>
      </w: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tl w:val="0"/>
        </w:rPr>
        <w:t xml:space="preserve">. Explications « comment mon influence a été calculée ». :contentReference[oaicite:22]{index=22} :contentReference[oaicite:23]{index=23}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jb4xj259qntb" w:id="7"/>
      <w:bookmarkEnd w:id="7"/>
      <w:r w:rsidDel="00000000" w:rsidR="00000000" w:rsidRPr="00000000">
        <w:rPr>
          <w:rtl w:val="0"/>
        </w:rPr>
        <w:t xml:space="preserve">Modules et usages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Éducation (KonnectED)</w:t>
      </w:r>
      <w:r w:rsidDel="00000000" w:rsidR="00000000" w:rsidRPr="00000000">
        <w:rPr>
          <w:rtl w:val="0"/>
        </w:rPr>
        <w:t xml:space="preserve">: studios interâges, preuves d’apprentissage vers EkoH. :contentReference[oaicite:24]{index=24} :contentReference[oaicite:25]{index=25}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Innovation (keenKonnect)</w:t>
      </w:r>
      <w:r w:rsidDel="00000000" w:rsidR="00000000" w:rsidRPr="00000000">
        <w:rPr>
          <w:rtl w:val="0"/>
        </w:rPr>
        <w:t xml:space="preserve">: projets, pair-review, signaux de financement via Smart Vote. :contentReference[oaicite:26]{index=26} :contentReference[oaicite:27]{index=27}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Débat (Ethikos)</w:t>
      </w:r>
      <w:r w:rsidDel="00000000" w:rsidR="00000000" w:rsidRPr="00000000">
        <w:rPr>
          <w:rtl w:val="0"/>
        </w:rPr>
        <w:t xml:space="preserve">: tableaux de bord bruts vs pondérés. :contentReference[oaicite:28]{index=28}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Culture (Kreative)</w:t>
      </w:r>
      <w:r w:rsidDel="00000000" w:rsidR="00000000" w:rsidRPr="00000000">
        <w:rPr>
          <w:rtl w:val="0"/>
        </w:rPr>
        <w:t xml:space="preserve">: découverte et curation fiables. :contentReference[oaicite:29]{index=29} :contentReference[oaicite:30]{index=30}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Participation</w:t>
      </w:r>
      <w:r w:rsidDel="00000000" w:rsidR="00000000" w:rsidRPr="00000000">
        <w:rPr>
          <w:rtl w:val="0"/>
        </w:rPr>
        <w:t xml:space="preserve">: consultations ouvertes, reconnaissance des contributions. :contentReference[oaicite:31]{index=31}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gndlfqip19to" w:id="8"/>
      <w:bookmarkEnd w:id="8"/>
      <w:r w:rsidDel="00000000" w:rsidR="00000000" w:rsidRPr="00000000">
        <w:rPr>
          <w:rtl w:val="0"/>
        </w:rPr>
        <w:t xml:space="preserve">Pilotes politiques compatibles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Type A/B/C pour l’IA. Collège des règles, opérateur, audit indépendant. Droit au recours. :contentReference[oaicite:32]{index=32}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cxwr77f10yag" w:id="9"/>
      <w:bookmarkEnd w:id="9"/>
      <w:r w:rsidDel="00000000" w:rsidR="00000000" w:rsidRPr="00000000">
        <w:rPr>
          <w:rtl w:val="0"/>
        </w:rPr>
        <w:t xml:space="preserve">Flux de connaissances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Actions → preuves → </w:t>
      </w:r>
      <w:r w:rsidDel="00000000" w:rsidR="00000000" w:rsidRPr="00000000">
        <w:rPr>
          <w:b w:val="1"/>
          <w:bCs w:val="1"/>
          <w:rtl w:val="0"/>
        </w:rPr>
        <w:t xml:space="preserve">EkoH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pondération </w:t>
      </w:r>
      <w:r w:rsidDel="00000000" w:rsidR="00000000" w:rsidRPr="00000000">
        <w:rPr>
          <w:b w:val="1"/>
          <w:bCs w:val="1"/>
          <w:rtl w:val="0"/>
        </w:rPr>
        <w:t xml:space="preserve">Smart Vote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décisions + </w:t>
      </w:r>
      <w:r w:rsidDel="00000000" w:rsidR="00000000" w:rsidRPr="00000000">
        <w:rPr>
          <w:b w:val="1"/>
          <w:bCs w:val="1"/>
          <w:rtl w:val="0"/>
        </w:rPr>
        <w:t xml:space="preserve">lectures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publiées → </w:t>
      </w:r>
      <w:r w:rsidDel="00000000" w:rsidR="00000000" w:rsidRPr="00000000">
        <w:rPr>
          <w:b w:val="1"/>
          <w:bCs w:val="1"/>
          <w:rtl w:val="0"/>
        </w:rPr>
        <w:t xml:space="preserve">Kristals</w:t>
      </w:r>
      <w:r w:rsidDel="00000000" w:rsidR="00000000" w:rsidRPr="00000000">
        <w:rPr>
          <w:rtl w:val="0"/>
        </w:rPr>
        <w:t xml:space="preserve"> pour réemploi. Boucles de rétroaction publiques. :contentReference[oaicite:33]{index=33} :contentReference[oaicite:34]{index=34} :contentReference[oaicite:35]{index=35}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4matq8vovde2" w:id="10"/>
      <w:bookmarkEnd w:id="10"/>
      <w:r w:rsidDel="00000000" w:rsidR="00000000" w:rsidRPr="00000000">
        <w:rPr>
          <w:rtl w:val="0"/>
        </w:rPr>
        <w:t xml:space="preserve">Indicateurs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Participation, délais d’instruction, clôture des audits, évolution méritocratique, journal d’audit des consultations. :contentReference[oaicite:36]{index=36} :contentReference[oaicite:37]{index=37}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pxmxdbsgt37x" w:id="11"/>
      <w:bookmarkEnd w:id="11"/>
      <w:r w:rsidDel="00000000" w:rsidR="00000000" w:rsidRPr="00000000">
        <w:rPr>
          <w:rtl w:val="0"/>
        </w:rPr>
        <w:t xml:space="preserve">Rôle d’Auguste et Klassique (usage diégétique)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Auguste</w:t>
      </w:r>
      <w:r w:rsidDel="00000000" w:rsidR="00000000" w:rsidRPr="00000000">
        <w:rPr>
          <w:rtl w:val="0"/>
        </w:rPr>
        <w:t xml:space="preserve">: scène Word Battle et consultations culturelles via Kreative; déclenche des essais locaux.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Klassique</w:t>
      </w:r>
      <w:r w:rsidDel="00000000" w:rsidR="00000000" w:rsidRPr="00000000">
        <w:rPr>
          <w:rtl w:val="0"/>
        </w:rPr>
        <w:t xml:space="preserve">: pilotage oreillette et éthique de scène; journaux publics; reconnaissance </w:t>
      </w:r>
      <w:r w:rsidDel="00000000" w:rsidR="00000000" w:rsidRPr="00000000">
        <w:rPr>
          <w:b w:val="1"/>
          <w:bCs w:val="1"/>
          <w:rtl w:val="0"/>
        </w:rPr>
        <w:t xml:space="preserve">EkoH</w:t>
      </w:r>
      <w:r w:rsidDel="00000000" w:rsidR="00000000" w:rsidRPr="00000000">
        <w:rPr>
          <w:rtl w:val="0"/>
        </w:rPr>
        <w:t xml:space="preserve">. (Conforme au cadre et aux valeurs.) :contentReference[oaicite:38]{index=38} :contentReference[oaicite:39]{index=39}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55z2v673pq6d" w:id="12"/>
      <w:bookmarkEnd w:id="12"/>
      <w:r w:rsidDel="00000000" w:rsidR="00000000" w:rsidRPr="00000000">
        <w:rPr>
          <w:rtl w:val="0"/>
        </w:rPr>
        <w:t xml:space="preserve">Schémas recommandés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Gouvernance (troïka, comités, Grand Inquisiteur). Chaîne IA Type A/B/C. Boucle de mise à jour des règles. Flux de données. Cycle Kristal Farms. :contentReference[oaicite:40]{index=40}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