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fzuah8optbl" w:id="0"/>
      <w:bookmarkEnd w:id="0"/>
      <w:r w:rsidDel="00000000" w:rsidR="00000000" w:rsidRPr="00000000">
        <w:rPr>
          <w:rtl w:val="0"/>
        </w:rPr>
        <w:t xml:space="preserve">P_RoiClown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gi9tspdgg" w:id="1"/>
      <w:bookmarkEnd w:id="1"/>
      <w:r w:rsidDel="00000000" w:rsidR="00000000" w:rsidRPr="00000000">
        <w:rPr>
          <w:rtl w:val="0"/>
        </w:rPr>
        <w:t xml:space="preserve">Identité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Fondateur du parti (rôle défini). Mentor discret. « Grand Inquisiteur » indépendant. :contentReference[oaicite:0]{index=0} :contentReference[oaicite:1]{index=1}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wfwer7veops" w:id="2"/>
      <w:bookmarkEnd w:id="2"/>
      <w:r w:rsidDel="00000000" w:rsidR="00000000" w:rsidRPr="00000000">
        <w:rPr>
          <w:rtl w:val="0"/>
        </w:rPr>
        <w:t xml:space="preserve">Rôle politique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Gouvernance</w:t>
      </w:r>
      <w:r w:rsidDel="00000000" w:rsidR="00000000" w:rsidRPr="00000000">
        <w:rPr>
          <w:rtl w:val="0"/>
        </w:rPr>
        <w:t xml:space="preserve">: troïka à pouvoir égal + comités permanents. :contentReference[oaicite:2]{index=2} :contentReference[oaicite:3]{index=3}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Fondateur non exécutif</w:t>
      </w:r>
      <w:r w:rsidDel="00000000" w:rsidR="00000000" w:rsidRPr="00000000">
        <w:rPr>
          <w:rtl w:val="0"/>
        </w:rPr>
        <w:t xml:space="preserve">: aucun veto, pas de représentation publique au nom du parti. Mentorat méthodologique et repérage d’angles morts. :contentReference[oaicite:4]{index=4}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Valeurs</w:t>
      </w:r>
      <w:r w:rsidDel="00000000" w:rsidR="00000000" w:rsidRPr="00000000">
        <w:rPr>
          <w:rtl w:val="0"/>
        </w:rPr>
        <w:t xml:space="preserve">: transparence, équité &amp; inclusion, sobriété réelle, amélioration continue, redevabilité. :contentReference[oaicite:5]{index=5}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tljclfx2r7w" w:id="3"/>
      <w:bookmarkEnd w:id="3"/>
      <w:r w:rsidDel="00000000" w:rsidR="00000000" w:rsidRPr="00000000">
        <w:rPr>
          <w:rtl w:val="0"/>
        </w:rPr>
        <w:t xml:space="preserve">Fonction « Grand Inquisiteur »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rechercher les faits, tester cohérence éthique/opérationnelle, </w:t>
      </w:r>
      <w:r w:rsidDel="00000000" w:rsidR="00000000" w:rsidRPr="00000000">
        <w:rPr>
          <w:b w:val="1"/>
          <w:bCs w:val="1"/>
          <w:rtl w:val="0"/>
        </w:rPr>
        <w:t xml:space="preserve">recommander</w:t>
      </w:r>
      <w:r w:rsidDel="00000000" w:rsidR="00000000" w:rsidRPr="00000000">
        <w:rPr>
          <w:rtl w:val="0"/>
        </w:rPr>
        <w:t xml:space="preserve"> sans pouvoir politique. :contentReference[oaicite:6]{index=6} :contentReference[oaicite:7]{index=7}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: indépendant (autorité morale) ou mandaté par l’État (accès élargi, indépendance préservée). :contentReference[oaicite:8]{index=8} :contentReference[oaicite:9]{index=9}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Cadre laïque</w:t>
      </w:r>
      <w:r w:rsidDel="00000000" w:rsidR="00000000" w:rsidRPr="00000000">
        <w:rPr>
          <w:rtl w:val="0"/>
        </w:rPr>
        <w:t xml:space="preserve">: méthodes et rapports en langage séculier, fondés sur des faits vérifiables. :contentReference[oaicite:10]{index=10}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Éthique</w:t>
      </w:r>
      <w:r w:rsidDel="00000000" w:rsidR="00000000" w:rsidRPr="00000000">
        <w:rPr>
          <w:rtl w:val="0"/>
        </w:rPr>
        <w:t xml:space="preserve">: respect, transparence, non-dogmatisme; serment interne. :contentReference[oaicite:11]{index=11}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hdcu34wy3e5" w:id="4"/>
      <w:bookmarkEnd w:id="4"/>
      <w:r w:rsidDel="00000000" w:rsidR="00000000" w:rsidRPr="00000000">
        <w:rPr>
          <w:rtl w:val="0"/>
        </w:rPr>
        <w:t xml:space="preserve">kOA (initiation et usage)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: mérite+éthique transversaux, calculs et effets </w:t>
      </w:r>
      <w:r w:rsidDel="00000000" w:rsidR="00000000" w:rsidRPr="00000000">
        <w:rPr>
          <w:b w:val="1"/>
          <w:bCs w:val="1"/>
          <w:rtl w:val="0"/>
        </w:rPr>
        <w:t xml:space="preserve">auditables</w:t>
      </w:r>
      <w:r w:rsidDel="00000000" w:rsidR="00000000" w:rsidRPr="00000000">
        <w:rPr>
          <w:rtl w:val="0"/>
        </w:rPr>
        <w:t xml:space="preserve">. :contentReference[oaicite:12]{index=12}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: vote inclusif pondéré par mérite pertinent; résultats transparents; outil consultatif. :contentReference[oaicite:13]{index=13} :contentReference[oaicite:14]{index=14} :contentReference[oaicite:15]{index=15}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rn6z16eb0zz" w:id="5"/>
      <w:bookmarkEnd w:id="5"/>
      <w:r w:rsidDel="00000000" w:rsidR="00000000" w:rsidRPr="00000000">
        <w:rPr>
          <w:rtl w:val="0"/>
        </w:rPr>
        <w:t xml:space="preserve">Persona publique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« King Klown » = catalyseur satirique. Parle « vérité au pouvoir » sans culte de la personnalité. Sert à </w:t>
      </w:r>
      <w:r w:rsidDel="00000000" w:rsidR="00000000" w:rsidRPr="00000000">
        <w:rPr>
          <w:b w:val="1"/>
          <w:bCs w:val="1"/>
          <w:rtl w:val="0"/>
        </w:rPr>
        <w:t xml:space="preserve">décentrer</w:t>
      </w:r>
      <w:r w:rsidDel="00000000" w:rsidR="00000000" w:rsidRPr="00000000">
        <w:rPr>
          <w:rtl w:val="0"/>
        </w:rPr>
        <w:t xml:space="preserve"> l’autorité réelle. :contentReference[oaicite:16]{index=16} :contentReference[oaicite:17]{index=17}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8qe8py89pkt" w:id="6"/>
      <w:bookmarkEnd w:id="6"/>
      <w:r w:rsidDel="00000000" w:rsidR="00000000" w:rsidRPr="00000000">
        <w:rPr>
          <w:rtl w:val="0"/>
        </w:rPr>
        <w:t xml:space="preserve">Formation et corps des Inquisiteurs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Sélection exigeante, intégrité et compétences. Formation théorique et pratique. :contentReference[oaicite:18]{index=18}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pnfl1bju2df" w:id="7"/>
      <w:bookmarkEnd w:id="7"/>
      <w:r w:rsidDel="00000000" w:rsidR="00000000" w:rsidRPr="00000000">
        <w:rPr>
          <w:rtl w:val="0"/>
        </w:rPr>
        <w:t xml:space="preserve">Garde-fous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Conflits d’intérêts déclarés et gérés; publication des règles internes applicables à la direction. :contentReference[oaicite:19]{index=19}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Dispositifs de contrôle: audits périodiques, plans correctifs suivis, succession planifiée. :contentReference[oaicite:20]{index=20}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jum304vi0sbl" w:id="8"/>
      <w:bookmarkEnd w:id="8"/>
      <w:r w:rsidDel="00000000" w:rsidR="00000000" w:rsidRPr="00000000">
        <w:rPr>
          <w:rtl w:val="0"/>
        </w:rPr>
        <w:t xml:space="preserve">Interfaces avec Auguste et Klassique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Scène</w:t>
      </w:r>
      <w:r w:rsidDel="00000000" w:rsidR="00000000" w:rsidRPr="00000000">
        <w:rPr>
          <w:rtl w:val="0"/>
        </w:rPr>
        <w:t xml:space="preserve">: Auguste porte la parole; Klassique pilote l’IA et l’empathie consentie; journaux publics. (conforme au cadre laïque et aux valeurs). :contentReference[oaicite:21]{index=21} :contentReference[oaicite:22]{index=22}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Reconnaissance</w:t>
      </w:r>
      <w:r w:rsidDel="00000000" w:rsidR="00000000" w:rsidRPr="00000000">
        <w:rPr>
          <w:rtl w:val="0"/>
        </w:rPr>
        <w:t xml:space="preserve">: leurs actions alimentent EkoH; consultations via Smart Vote en lecture de référence + alternatives. :contentReference[oaicite:23]{index=23} :contentReference[oaicite:24]{index=24}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