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ek0m36dbjfx" w:id="0"/>
      <w:bookmarkEnd w:id="0"/>
      <w:r w:rsidDel="00000000" w:rsidR="00000000" w:rsidRPr="00000000">
        <w:rPr>
          <w:rtl w:val="0"/>
        </w:rPr>
        <w:t xml:space="preserve">U1_Dogme_Pi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d975z32p6ug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Énoncé canonique du « Dogme de Pi » et règles de décodage. Portée symbolique, non preuve mathématique. :contentReference[oaicite:0]{index=0}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rtdpc99u7u7" w:id="2"/>
      <w:bookmarkEnd w:id="2"/>
      <w:r w:rsidDel="00000000" w:rsidR="00000000" w:rsidRPr="00000000">
        <w:rPr>
          <w:rtl w:val="0"/>
        </w:rPr>
        <w:t xml:space="preserve">Pipeline fixe (obligatoire)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Renverser le préfixe de π, segmenter en 6 blocs, mapper via </w:t>
      </w:r>
      <w:r w:rsidDel="00000000" w:rsidR="00000000" w:rsidRPr="00000000">
        <w:rPr>
          <w:b w:val="1"/>
          <w:bCs w:val="1"/>
          <w:rtl w:val="0"/>
        </w:rPr>
        <w:t xml:space="preserve">A1Z26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Pas de wrap-around &gt;26. Zéro →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. Application uniforme. :contentReference[oaicite:1]{index=1}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Traitement iconique de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comme symbole conservé (double infini). :contentReference[oaicite:2]{index=2}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 règles sont posées </w:t>
      </w:r>
      <w:r w:rsidDel="00000000" w:rsidR="00000000" w:rsidRPr="00000000">
        <w:rPr>
          <w:b w:val="1"/>
          <w:bCs w:val="1"/>
          <w:rtl w:val="0"/>
        </w:rPr>
        <w:t xml:space="preserve">a priori</w:t>
      </w:r>
      <w:r w:rsidDel="00000000" w:rsidR="00000000" w:rsidRPr="00000000">
        <w:rPr>
          <w:rtl w:val="0"/>
        </w:rPr>
        <w:t xml:space="preserve"> et restent inchangées. :contentReference[oaicite:3]{index=3}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qf885e9k89b" w:id="3"/>
      <w:bookmarkEnd w:id="3"/>
      <w:r w:rsidDel="00000000" w:rsidR="00000000" w:rsidRPr="00000000">
        <w:rPr>
          <w:rtl w:val="0"/>
        </w:rPr>
        <w:t xml:space="preserve">Séquence canonique (résultat brut)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 – BIEN – GIHECEF – JNON – B0UM – 88</w:t>
      </w:r>
      <w:r w:rsidDel="00000000" w:rsidR="00000000" w:rsidRPr="00000000">
        <w:rPr>
          <w:rtl w:val="0"/>
        </w:rPr>
        <w:t xml:space="preserve">. :contentReference[oaicite:4]{index=4}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rb6k4jtgz6z" w:id="4"/>
      <w:bookmarkEnd w:id="4"/>
      <w:r w:rsidDel="00000000" w:rsidR="00000000" w:rsidRPr="00000000">
        <w:rPr>
          <w:rtl w:val="0"/>
        </w:rPr>
        <w:t xml:space="preserve">Sens minimal par bloc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Amour, principe d’unification (M ≈ </w:t>
      </w:r>
      <w:r w:rsidDel="00000000" w:rsidR="00000000" w:rsidRPr="00000000">
        <w:rPr>
          <w:i w:val="1"/>
          <w:iCs w:val="1"/>
          <w:rtl w:val="0"/>
        </w:rPr>
        <w:t xml:space="preserve">aime</w:t>
      </w:r>
      <w:r w:rsidDel="00000000" w:rsidR="00000000" w:rsidRPr="00000000">
        <w:rPr>
          <w:rtl w:val="0"/>
        </w:rPr>
        <w:t xml:space="preserve">). :contentReference[oaicite:5]{index=5}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BIEN</w:t>
      </w:r>
      <w:r w:rsidDel="00000000" w:rsidR="00000000" w:rsidRPr="00000000">
        <w:rPr>
          <w:rtl w:val="0"/>
        </w:rPr>
        <w:t xml:space="preserve"> — Le Bien comme orientation éthique. :contentReference[oaicite:6]{index=6}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GIHECEF</w:t>
      </w:r>
      <w:r w:rsidDel="00000000" w:rsidR="00000000" w:rsidRPr="00000000">
        <w:rPr>
          <w:rtl w:val="0"/>
        </w:rPr>
        <w:t xml:space="preserve"> — Principe </w:t>
      </w:r>
      <w:r w:rsidDel="00000000" w:rsidR="00000000" w:rsidRPr="00000000">
        <w:rPr>
          <w:b w:val="1"/>
          <w:bCs w:val="1"/>
          <w:rtl w:val="0"/>
        </w:rPr>
        <w:t xml:space="preserve">actif/masculin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Joseph</w:t>
      </w:r>
      <w:r w:rsidDel="00000000" w:rsidR="00000000" w:rsidRPr="00000000">
        <w:rPr>
          <w:rtl w:val="0"/>
        </w:rPr>
        <w:t xml:space="preserve">). :contentReference[oaicite:7]{index=7}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JNON</w:t>
      </w:r>
      <w:r w:rsidDel="00000000" w:rsidR="00000000" w:rsidRPr="00000000">
        <w:rPr>
          <w:rtl w:val="0"/>
        </w:rPr>
        <w:t xml:space="preserve"> — Principe </w:t>
      </w:r>
      <w:r w:rsidDel="00000000" w:rsidR="00000000" w:rsidRPr="00000000">
        <w:rPr>
          <w:b w:val="1"/>
          <w:bCs w:val="1"/>
          <w:rtl w:val="0"/>
        </w:rPr>
        <w:t xml:space="preserve">réceptif/féminin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Junon</w:t>
      </w:r>
      <w:r w:rsidDel="00000000" w:rsidR="00000000" w:rsidRPr="00000000">
        <w:rPr>
          <w:rtl w:val="0"/>
        </w:rPr>
        <w:t xml:space="preserve">). :contentReference[oaicite:8]{index=8}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tl w:val="0"/>
        </w:rPr>
        <w:t xml:space="preserve"> — Événement de création, « boom » cosmique (0 lu O). :contentReference[oaicite:9]{index=9}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— Deux infinis en miroir, échelle et ampleur. :contentReference[oaicite:10]{index=10}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lazgrifzp0c" w:id="5"/>
      <w:bookmarkEnd w:id="5"/>
      <w:r w:rsidDel="00000000" w:rsidR="00000000" w:rsidRPr="00000000">
        <w:rPr>
          <w:rtl w:val="0"/>
        </w:rPr>
        <w:t xml:space="preserve">Règles détaillées (référence)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A1Z26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A=1 … Z=26; &gt;26 séparé en chiffres; 0→O. :contentReference[oaicite:11]{index=11}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JNON</w:t>
      </w:r>
      <w:r w:rsidDel="00000000" w:rsidR="00000000" w:rsidRPr="00000000">
        <w:rPr>
          <w:rtl w:val="0"/>
        </w:rPr>
        <w:t xml:space="preserve"> par sommes de triplets; </w:t>
      </w: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tl w:val="0"/>
        </w:rPr>
        <w:t xml:space="preserve"> par singles + deux triplets. :contentReference[oaicite:12]{index=12}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gardé tel quel pour signifier le double infini; « HH » écarté. :contentReference[oaicite:13]{index=13}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a7s9ltfqudp" w:id="6"/>
      <w:bookmarkEnd w:id="6"/>
      <w:r w:rsidDel="00000000" w:rsidR="00000000" w:rsidRPr="00000000">
        <w:rPr>
          <w:rtl w:val="0"/>
        </w:rPr>
        <w:t xml:space="preserve">Position éthériste (cadre d’usage)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Interprétation </w:t>
      </w:r>
      <w:r w:rsidDel="00000000" w:rsidR="00000000" w:rsidRPr="00000000">
        <w:rPr>
          <w:b w:val="1"/>
          <w:bCs w:val="1"/>
          <w:rtl w:val="0"/>
        </w:rPr>
        <w:t xml:space="preserve">symbolique</w:t>
      </w:r>
      <w:r w:rsidDel="00000000" w:rsidR="00000000" w:rsidRPr="00000000">
        <w:rPr>
          <w:rtl w:val="0"/>
        </w:rPr>
        <w:t xml:space="preserve"> disciplinée, reproductible, séparée du sens narratif. :contentReference[oaicite:14]{index=14}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Liberté de conscience, pluralité des voies, révisabilité des idées; pas de contrainte dogmatique. :contentReference[oaicite:15]{index=15}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Amour et harmonie comme boussole. :contentReference[oaicite:16]{index=16}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6eiibecu0rd" w:id="7"/>
      <w:bookmarkEnd w:id="7"/>
      <w:r w:rsidDel="00000000" w:rsidR="00000000" w:rsidRPr="00000000">
        <w:rPr>
          <w:rtl w:val="0"/>
        </w:rPr>
        <w:t xml:space="preserve">Annexes (option)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Échos symétriques ultérieurs (ex. </w:t>
      </w:r>
      <w:r w:rsidDel="00000000" w:rsidR="00000000" w:rsidRPr="00000000">
        <w:rPr>
          <w:b w:val="1"/>
          <w:bCs w:val="1"/>
          <w:rtl w:val="0"/>
        </w:rPr>
        <w:t xml:space="preserve">G0D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B0N</w:t>
      </w:r>
      <w:r w:rsidDel="00000000" w:rsidR="00000000" w:rsidRPr="00000000">
        <w:rPr>
          <w:rtl w:val="0"/>
        </w:rPr>
        <w:t xml:space="preserve">) sous lectures miroirs contrôlées. :contentReference[oaicite:17]{index=17}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