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9jujgw6ffbl5" w:id="0"/>
      <w:bookmarkEnd w:id="0"/>
      <w:r w:rsidDel="00000000" w:rsidR="00000000" w:rsidRPr="00000000">
        <w:rPr>
          <w:rtl w:val="0"/>
        </w:rPr>
        <w:t xml:space="preserve">Navigation Map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list below presents </w:t>
      </w:r>
      <w:r w:rsidDel="00000000" w:rsidR="00000000" w:rsidRPr="00000000">
        <w:rPr>
          <w:b w:val="1"/>
          <w:rtl w:val="0"/>
        </w:rPr>
        <w:t xml:space="preserve">every top‑level page (route)</w:t>
      </w:r>
      <w:r w:rsidDel="00000000" w:rsidR="00000000" w:rsidRPr="00000000">
        <w:rPr>
          <w:rtl w:val="0"/>
        </w:rPr>
        <w:t xml:space="preserve"> that a user can reach from the main sidebar or intent cards, grouped by module and sub‑module.</w:t>
        <w:br w:type="textWrapping"/>
        <w:t xml:space="preserve"> Nested </w:t>
      </w:r>
      <w:r w:rsidDel="00000000" w:rsidR="00000000" w:rsidRPr="00000000">
        <w:rPr>
          <w:b w:val="1"/>
          <w:rtl w:val="0"/>
        </w:rPr>
        <w:t xml:space="preserve">tabs, drawers or modals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are noted → they 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create extra routes but keep related tasks together.</w:t>
        <w:br w:type="textWrapping"/>
        <w:t xml:space="preserve"> All names preserve the K‑branding (e.g. </w:t>
      </w:r>
      <w:r w:rsidDel="00000000" w:rsidR="00000000" w:rsidRPr="00000000">
        <w:rPr>
          <w:i w:val="1"/>
          <w:rtl w:val="0"/>
        </w:rPr>
        <w:t xml:space="preserve">CertifiKation</w:t>
      </w:r>
      <w:r w:rsidDel="00000000" w:rsidR="00000000" w:rsidRPr="00000000">
        <w:rPr>
          <w:rtl w:val="0"/>
        </w:rPr>
        <w:t xml:space="preserve">, </w:t>
      </w:r>
      <w:r w:rsidDel="00000000" w:rsidR="00000000" w:rsidRPr="00000000">
        <w:rPr>
          <w:i w:val="1"/>
          <w:rtl w:val="0"/>
        </w:rPr>
        <w:t xml:space="preserve">Konsensus</w:t>
      </w:r>
      <w:r w:rsidDel="00000000" w:rsidR="00000000" w:rsidRPr="00000000">
        <w:rPr>
          <w:rtl w:val="0"/>
        </w:rPr>
        <w:t xml:space="preserve">) and nothing duplicates boiler‑plate authentication or error screens.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 Global &amp; Cross‑Module Shell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2015"/>
        <w:gridCol w:w="6140"/>
        <w:tblGridChange w:id="0">
          <w:tblGrid>
            <w:gridCol w:w="1190"/>
            <w:gridCol w:w="2015"/>
            <w:gridCol w:w="61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a user achieves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Home / Explore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Choose an intent card (</w:t>
            </w:r>
            <w:r w:rsidDel="00000000" w:rsidR="00000000" w:rsidRPr="00000000">
              <w:rPr>
                <w:i w:val="1"/>
                <w:rtl w:val="0"/>
              </w:rPr>
              <w:t xml:space="preserve">Debate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Build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Learn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Showcase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Connect</w:t>
            </w:r>
            <w:r w:rsidDel="00000000" w:rsidR="00000000" w:rsidRPr="00000000">
              <w:rPr>
                <w:rtl w:val="0"/>
              </w:rPr>
              <w:t xml:space="preserve">) and see a personalised activity feed drawn from all modules (weighted by Konsensus relevance) 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/my‑work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My 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Timeline of all debates, projects, certificates and artworks in which the user is involved, with quick‑resume links.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/insights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 Insights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High‑level dashboards for moderators: usage KPIs, Konsensus health, anomaly flags.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Global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Unified keyword search across all content types using the common index.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 Kollective Intelligence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3.9043615344194"/>
        <w:gridCol w:w="2055.9537572254335"/>
        <w:gridCol w:w="3841.3872832369943"/>
        <w:gridCol w:w="2188.7545980031528"/>
        <w:tblGridChange w:id="0">
          <w:tblGrid>
            <w:gridCol w:w="1273.9043615344194"/>
            <w:gridCol w:w="2055.9537572254335"/>
            <w:gridCol w:w="3841.3872832369943"/>
            <w:gridCol w:w="2188.754598003152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In‑page tabs /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/konsensus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Konsensus Center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• </w:t>
            </w:r>
            <w:r w:rsidDel="00000000" w:rsidR="00000000" w:rsidRPr="00000000">
              <w:rPr>
                <w:i w:val="1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  <w:t xml:space="preserve"> – real‑time weighted outcomes for active votes .• </w:t>
            </w:r>
            <w:r w:rsidDel="00000000" w:rsidR="00000000" w:rsidRPr="00000000">
              <w:rPr>
                <w:i w:val="1"/>
                <w:rtl w:val="0"/>
              </w:rPr>
              <w:t xml:space="preserve">Leaderboards</w:t>
            </w:r>
            <w:r w:rsidDel="00000000" w:rsidR="00000000" w:rsidRPr="00000000">
              <w:rPr>
                <w:rtl w:val="0"/>
              </w:rPr>
              <w:t xml:space="preserve"> – top Ekoh contributors by field .• </w:t>
            </w:r>
            <w:r w:rsidDel="00000000" w:rsidR="00000000" w:rsidRPr="00000000">
              <w:rPr>
                <w:i w:val="1"/>
                <w:rtl w:val="0"/>
              </w:rPr>
              <w:t xml:space="preserve">Smart Vote</w:t>
            </w:r>
            <w:r w:rsidDel="00000000" w:rsidR="00000000" w:rsidRPr="00000000">
              <w:rPr>
                <w:rtl w:val="0"/>
              </w:rPr>
              <w:t xml:space="preserve"> – list of ongoing polls requiring input (was “Smart Vote Portal”) 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Observe collective metrics, join merit‑weighted polls, inspect influence of expertise.</w:t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/ekoh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Ekoh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• </w:t>
            </w:r>
            <w:r w:rsidDel="00000000" w:rsidR="00000000" w:rsidRPr="00000000">
              <w:rPr>
                <w:i w:val="1"/>
                <w:rtl w:val="0"/>
              </w:rPr>
              <w:t xml:space="preserve">Score Analytics</w:t>
            </w:r>
            <w:r w:rsidDel="00000000" w:rsidR="00000000" w:rsidRPr="00000000">
              <w:rPr>
                <w:rtl w:val="0"/>
              </w:rPr>
              <w:t xml:space="preserve"> – donut + trend line of personal Ekoh factors .• </w:t>
            </w:r>
            <w:r w:rsidDel="00000000" w:rsidR="00000000" w:rsidRPr="00000000">
              <w:rPr>
                <w:i w:val="1"/>
                <w:rtl w:val="0"/>
              </w:rPr>
              <w:t xml:space="preserve">Voting Weight</w:t>
            </w:r>
            <w:r w:rsidDel="00000000" w:rsidR="00000000" w:rsidRPr="00000000">
              <w:rPr>
                <w:rtl w:val="0"/>
              </w:rPr>
              <w:t xml:space="preserve"> – current Smart‑Vote influence by domain .• </w:t>
            </w:r>
            <w:r w:rsidDel="00000000" w:rsidR="00000000" w:rsidRPr="00000000">
              <w:rPr>
                <w:i w:val="1"/>
                <w:rtl w:val="0"/>
              </w:rPr>
              <w:t xml:space="preserve">Expertise Areas</w:t>
            </w:r>
            <w:r w:rsidDel="00000000" w:rsidR="00000000" w:rsidRPr="00000000">
              <w:rPr>
                <w:rtl w:val="0"/>
              </w:rPr>
              <w:t xml:space="preserve"> – read‑only view of recognised fields.• </w:t>
            </w:r>
            <w:r w:rsidDel="00000000" w:rsidR="00000000" w:rsidRPr="00000000">
              <w:rPr>
                <w:i w:val="1"/>
                <w:rtl w:val="0"/>
              </w:rPr>
              <w:t xml:space="preserve">Badges</w:t>
            </w:r>
            <w:r w:rsidDel="00000000" w:rsidR="00000000" w:rsidRPr="00000000">
              <w:rPr>
                <w:rtl w:val="0"/>
              </w:rPr>
              <w:t xml:space="preserve"> – earned achievements grid.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Understand and explain one’s reputation &amp; influence.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 ethiKos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1.6868102995272"/>
        <w:gridCol w:w="2129.732002101944"/>
        <w:gridCol w:w="3147.8717813977933"/>
        <w:gridCol w:w="2070.709406200736"/>
        <w:tblGridChange w:id="0">
          <w:tblGrid>
            <w:gridCol w:w="2011.6868102995272"/>
            <w:gridCol w:w="2129.732002101944"/>
            <w:gridCol w:w="3147.8717813977933"/>
            <w:gridCol w:w="2070.7094062007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Tabs / segments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/debate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Debate 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Archived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Start New Debate</w:t>
            </w:r>
            <w:r w:rsidDel="00000000" w:rsidR="00000000" w:rsidRPr="00000000">
              <w:rPr>
                <w:rtl w:val="0"/>
              </w:rPr>
              <w:t xml:space="preserve"> form. Threads open in a right‑hand drawer.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Launch or join structured debates.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/consult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Consultation 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Live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Suggest</w:t>
            </w:r>
            <w:r w:rsidDel="00000000" w:rsidR="00000000" w:rsidRPr="00000000">
              <w:rPr>
                <w:rtl w:val="0"/>
              </w:rPr>
              <w:t xml:space="preserve"> (citizen ideas).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Vote with nuance, submit suggestions, view weighted results.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/ethikos/insights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Opinion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Real‑time, trends, and participation metrics dashboards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Analyse stance shifts and engagement.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/reputation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Reputation &amp; Expertise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Manage declared fields, view Ekoh and badges (same forms as Ekoh manage‑expertise)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Maintain credibility profile inside debates.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Smart‑Voting education, history or “how it works” are drawers launched from buttons on the hubs — no separate routes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 keenKonnect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.155335434489"/>
        <w:gridCol w:w="1812.1566861773977"/>
        <w:gridCol w:w="4631.535344439442"/>
        <w:gridCol w:w="1281.1526339486718"/>
        <w:tblGridChange w:id="0">
          <w:tblGrid>
            <w:gridCol w:w="1635.155335434489"/>
            <w:gridCol w:w="1812.1566861773977"/>
            <w:gridCol w:w="4631.535344439442"/>
            <w:gridCol w:w="1281.152633948671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Browse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My Projects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Discover or start collaboration spaces.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/projects/[slug]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Overview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Blueprints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Chat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AI Insights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Settings</w:t>
            </w:r>
            <w:r w:rsidDel="00000000" w:rsidR="00000000" w:rsidRPr="00000000">
              <w:rPr>
                <w:rtl w:val="0"/>
              </w:rPr>
              <w:t xml:space="preserve"> – all in one persistent route.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End‑to‑end project execution with real‑time tools .</w:t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Single view.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Track sustainability and social‑impact metrics across projects.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 KonnectED</w:t>
      </w:r>
    </w:p>
    <w:tbl>
      <w:tblPr>
        <w:tblStyle w:val="Table5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6.751592356688"/>
        <w:gridCol w:w="2178.343949044586"/>
        <w:gridCol w:w="4365.859872611465"/>
        <w:gridCol w:w="1229.0445859872611"/>
        <w:tblGridChange w:id="0">
          <w:tblGrid>
            <w:gridCol w:w="1586.751592356688"/>
            <w:gridCol w:w="2178.343949044586"/>
            <w:gridCol w:w="4365.859872611465"/>
            <w:gridCol w:w="1229.044585987261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/learn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Catalog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Recommendations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Offline Download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Browse or cache educational content 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/course/[slug]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Course 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Lessons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Follow sequenced learning and quizzes.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/certs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CertifiKation Center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Programs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My Certificates</w:t>
            </w:r>
            <w:r w:rsidDel="00000000" w:rsidR="00000000" w:rsidRPr="00000000">
              <w:rPr>
                <w:rtl w:val="0"/>
              </w:rPr>
              <w:t xml:space="preserve"> – includes exam prep &amp; registration flows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Earn, view and download credentials.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 Kreative (+ Kontact)</w:t>
      </w:r>
    </w:p>
    <w:tbl>
      <w:tblPr>
        <w:tblStyle w:val="Table6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8.0326248146318"/>
        <w:gridCol w:w="2281.008403361345"/>
        <w:gridCol w:w="3696.8067226890757"/>
        <w:gridCol w:w="1684.1522491349483"/>
        <w:tblGridChange w:id="0">
          <w:tblGrid>
            <w:gridCol w:w="1698.0326248146318"/>
            <w:gridCol w:w="2281.008403361345"/>
            <w:gridCol w:w="3696.8067226890757"/>
            <w:gridCol w:w="1684.152249134948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/kreative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Creativity 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Gallery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Incubator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Virtual Exhibitions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Showcase art, propose ideas, attend immersive shows.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/art/[id]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Artwork 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Metadata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Deep dive into a single piece, applaud, discuss.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/archive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Konservation Archive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Heritage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Partners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Explore cultural‑heritage assets 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/connect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Connect Center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People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Opportunities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Workspace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Network with creators, join residencies, open collab rooms 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/profile/[user]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Public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Portfolio</w:t>
            </w:r>
            <w:r w:rsidDel="00000000" w:rsidR="00000000" w:rsidRPr="00000000">
              <w:rPr>
                <w:rtl w:val="0"/>
              </w:rPr>
              <w:t xml:space="preserve">, </w:t>
            </w:r>
            <w:r w:rsidDel="00000000" w:rsidR="00000000" w:rsidRPr="00000000">
              <w:rPr>
                <w:i w:val="1"/>
                <w:rtl w:val="0"/>
              </w:rPr>
              <w:t xml:space="preserve">Reviews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View another user’s artistic résumé.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 Communication &amp; Administration</w:t>
      </w:r>
    </w:p>
    <w:tbl>
      <w:tblPr>
        <w:tblStyle w:val="Table7"/>
        <w:tblW w:w="7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5"/>
        <w:gridCol w:w="1805"/>
        <w:gridCol w:w="4640"/>
        <w:tblGridChange w:id="0">
          <w:tblGrid>
            <w:gridCol w:w="875"/>
            <w:gridCol w:w="1805"/>
            <w:gridCol w:w="4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Messenger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Direct / group chat, video toggle.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Invite members, assign roles.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 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Moderation queue, user &amp; stats management .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 Top‑Level Route Count</w:t>
      </w:r>
    </w:p>
    <w:tbl>
      <w:tblPr>
        <w:tblStyle w:val="Table8"/>
        <w:tblW w:w="4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5"/>
        <w:gridCol w:w="1730"/>
        <w:tblGridChange w:id="0">
          <w:tblGrid>
            <w:gridCol w:w="2735"/>
            <w:gridCol w:w="17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 or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Distinct routes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Global shell &amp;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Kollective Intelligence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ethiKos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keenKonnect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KonnectED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Kreative / Kontact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Communication &amp;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(A modest increase vs. the earlier sketch accommodates essential Smart Vote and analytics pages without re‑introducing sprawl.)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Baskerv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both"/>
    </w:pPr>
    <w:rPr>
      <w:rFonts w:ascii="Baskervville" w:cs="Baskervville" w:eastAsia="Baskervville" w:hAnsi="Baskervville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kervville-regular.ttf"/><Relationship Id="rId2" Type="http://schemas.openxmlformats.org/officeDocument/2006/relationships/font" Target="fonts/Baskervville-bold.ttf"/><Relationship Id="rId3" Type="http://schemas.openxmlformats.org/officeDocument/2006/relationships/font" Target="fonts/Baskervville-italic.ttf"/><Relationship Id="rId4" Type="http://schemas.openxmlformats.org/officeDocument/2006/relationships/font" Target="fonts/Baskervvill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