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rPr>
          <w:b w:val="1"/>
          <w:bCs w:val="1"/>
          <w:color w:val="1f1f1f"/>
          <w:sz w:val="46"/>
          <w:szCs w:val="46"/>
        </w:rPr>
      </w:pPr>
      <w:bookmarkStart w:colFirst="0" w:colLast="0" w:name="_xn3cchslptdn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Labrador Rivers and Hydroelectric Potential: Power Estimates and Current Status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rPr>
          <w:rFonts w:ascii="Baskervville Medium" w:cs="Baskervville Medium" w:eastAsia="Baskervville Medium" w:hAnsi="Baskervville Medium"/>
          <w:sz w:val="34"/>
          <w:szCs w:val="34"/>
        </w:rPr>
      </w:pPr>
      <w:bookmarkStart w:colFirst="0" w:colLast="0" w:name="_rhdhlzagq23o" w:id="1"/>
      <w:bookmarkEnd w:id="1"/>
      <w:r w:rsidDel="00000000" w:rsidR="00000000" w:rsidRPr="00000000">
        <w:rPr>
          <w:rFonts w:ascii="Baskervville Medium" w:cs="Baskervville Medium" w:eastAsia="Baskervville Medium" w:hAnsi="Baskervville Medium"/>
          <w:sz w:val="34"/>
          <w:szCs w:val="34"/>
          <w:rtl w:val="0"/>
        </w:rPr>
        <w:t xml:space="preserve">Scope and status categories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lists Labrador rivers and watercourses for which public sources identify hydroelectric potential, existing hydroelectric development, or small-hydro study work. The figures combine several kinds of data: historical potential estimates, preliminary site estimates, current installed capacity, and small-hydro feasibility figures. Values are therefore not always directly comparable.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Status categories used: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Operating / harnessed:</w:t>
      </w:r>
      <w:r w:rsidDel="00000000" w:rsidR="00000000" w:rsidRPr="00000000">
        <w:rPr>
          <w:rtl w:val="0"/>
        </w:rPr>
        <w:t xml:space="preserve"> an existing hydroelectric station is operating.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Partially harnessed:</w:t>
      </w:r>
      <w:r w:rsidDel="00000000" w:rsidR="00000000" w:rsidRPr="00000000">
        <w:rPr>
          <w:rtl w:val="0"/>
        </w:rPr>
        <w:t xml:space="preserve"> part of the river system is developed, but additional identified potential remains.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Planned / under agreement:</w:t>
      </w:r>
      <w:r w:rsidDel="00000000" w:rsidR="00000000" w:rsidRPr="00000000">
        <w:rPr>
          <w:rtl w:val="0"/>
        </w:rPr>
        <w:t xml:space="preserve"> development is identified in a current agreement or official proposal, but not yet operating.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Former / retired:</w:t>
      </w:r>
      <w:r w:rsidDel="00000000" w:rsidR="00000000" w:rsidRPr="00000000">
        <w:rPr>
          <w:rtl w:val="0"/>
        </w:rPr>
        <w:t xml:space="preserve"> a hydro station existed but is no longer operating as an independent facility.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Unexploited / identified:</w:t>
      </w:r>
      <w:r w:rsidDel="00000000" w:rsidR="00000000" w:rsidRPr="00000000">
        <w:rPr>
          <w:rtl w:val="0"/>
        </w:rPr>
        <w:t xml:space="preserve"> hydro potential has been identified, but no current operating hydro station was confirmed.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Small-hydro candidate:</w:t>
      </w:r>
      <w:r w:rsidDel="00000000" w:rsidR="00000000" w:rsidRPr="00000000">
        <w:rPr>
          <w:rtl w:val="0"/>
        </w:rPr>
        <w:t xml:space="preserve"> a small local hydro option was studied, but no operating project was confirmed.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sources used include: Newfoundland and Labrador Hydro’s current generation-asset list, which identifies Churchill Falls, Muskrat Falls and Menihek as Labrador hydro facilities; the 2024 Newfoundland and Labrador–Québec energy partnership materials, which identify Gull Island, a new Churchill Falls powerhouse and Churchill Falls upgrades; the 1974 historical Labrador potential table; the 2002 preliminary site list reproduced in the Royal Commission Churchill River report; and the 2018 Coastal Labrador small-hydro reassessment.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Newfoundland and Labrador Hydro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rPr>
          <w:rFonts w:ascii="Baskervville Medium" w:cs="Baskervville Medium" w:eastAsia="Baskervville Medium" w:hAnsi="Baskervville Medium"/>
          <w:sz w:val="34"/>
          <w:szCs w:val="34"/>
        </w:rPr>
      </w:pPr>
      <w:bookmarkStart w:colFirst="0" w:colLast="0" w:name="_9aqral4s28s7" w:id="2"/>
      <w:bookmarkEnd w:id="2"/>
      <w:r w:rsidDel="00000000" w:rsidR="00000000" w:rsidRPr="00000000">
        <w:rPr>
          <w:rFonts w:ascii="Baskervville Medium" w:cs="Baskervville Medium" w:eastAsia="Baskervville Medium" w:hAnsi="Baskervville Medium"/>
          <w:sz w:val="34"/>
          <w:szCs w:val="34"/>
          <w:rtl w:val="0"/>
        </w:rPr>
        <w:t xml:space="preserve">Main table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98.3092783505153"/>
        <w:gridCol w:w="1510.1443298969073"/>
        <w:gridCol w:w="1973.3195876288662"/>
        <w:gridCol w:w="1756.2061855670104"/>
        <w:gridCol w:w="2422.0206185567013"/>
        <w:tblGridChange w:id="0">
          <w:tblGrid>
            <w:gridCol w:w="1698.3092783505153"/>
            <w:gridCol w:w="1510.1443298969073"/>
            <w:gridCol w:w="1973.3195876288662"/>
            <w:gridCol w:w="1756.2061855670104"/>
            <w:gridCol w:w="2422.0206185567013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River / watercourse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Site or reference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Potential /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Churchill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Churchill Falls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5,428 MW installed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Operating / harnessed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Major existing Labrador hydro station.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Churchill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Muskrat Falls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824 MW installed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Operating / harnessed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Lower Churchill site; in service.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Churchill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Gull Island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2,250 MW planned; older estimate 2,264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 / under 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Not operating; included in 2024 NL–Québec agreement materials.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Churchill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Churchill Falls new powerhouse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+1,100 MW planned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 / under 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Planned expansion near existing Churchill Falls site.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Churchill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Churchill Falls unit upgrades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+550 MW planned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 / under agreement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Capacity increase to existing units.</w:t>
            </w:r>
          </w:p>
        </w:tc>
      </w:tr>
      <w:tr>
        <w:trPr>
          <w:cantSplit w:val="0"/>
          <w:trHeight w:val="21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Churchill River / Lower Churchill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Historical lower-river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2,400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Partially harnessed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Historical estimate broadly corresponds to lower Churchill potential; Muskrat Falls is operating and Gull Island remains planned.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Unknown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Twin Falls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225 MW installed historically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Former / retired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Built for mining load; later shut down/diverted into the Churchill system.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Ashuanipi River / Menihek Lake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Menihek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18 MW installed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Operating / harnessed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Existing Labrador plant.</w:t>
            </w:r>
          </w:p>
        </w:tc>
      </w:tr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Naskaupi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1,933 MW; later preliminary estimate 290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Partly altered / not separately harnessed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Naskaupi flows were affected by the Upper Churchill development; no separate current Naskaupi hydro station confirmed.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Eagle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983 MW; later 661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Major identified potential; no current operating hydro station confirmed.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Caiairiktok / Kanairiktok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817 MW; later 153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Spelling varies by source; treat as source-name pending toponym verification.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Kanairuktok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Preliminary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394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Listed separately from Kanairiktok in the 2002 preliminary list.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Kenamu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313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 only confirmed.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Paradise River, Labrador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292 MW; later 89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Do not confuse with NL Hydro’s Paradise River hydro station on the Burin Peninsula, Newfoundland.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 Wine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255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Earlier “Red Vine” wording should be corrected to Red Wine.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Goose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246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 only confirmed.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Fig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233 MW; later 204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Listed in both historical and later preliminary sources.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Big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230 MW; later 109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Listed in both historical and later preliminary sources.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Minipi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216 MW; later 647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Later estimate is higher than the historical figure; needs site-specific review.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St. Lewis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/ small hydro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200 MW; later 68 MW; small-hydro site 8C modelled at up to 3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small-hydro candidate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Studied for local coastal supply; no operating project confirmed.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Metchin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180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 only confirmed.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North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160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 only confirmed.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Crooked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153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 only confirmed.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Alexis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143 MW; later 98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Also used as hydrological reference in coastal small-hydro studies.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Beaver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126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 only confirmed.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Pinware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Historical / preliminary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120 MW; later 77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Listed in both historical and later preliminary sources.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Hawke River / Hawke Brook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Historical potential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45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identified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Historical table uses “Hawke Brook.”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Lobstick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Preliminary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160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Listed in 2002 preliminary site list; verify whether treated as river/site in mapping.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Kogaluk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Preliminary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58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Mistastin River / Mistastin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Preliminary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81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Notakwanon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Lower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84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Notakwanon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Upper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94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Ugjoktok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Lower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94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Ugjoktok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Upper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43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Kingurutik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Preliminary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31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Later preliminary estimate.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Harp Lake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Lake / waterbody 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51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Unexploited / preliminary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Not a river name; should be treated as a waterbody/site.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Gilbert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Coastal Labrador Site 5B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2.3 MW firm-power design basis; one-month dry-year shortfall in reassessment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Small-hydro candidate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Studied for potential displacement of diesel generation in southern coastal communities.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St. Mary’s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Mary’s Harbour small hydro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roughly 0.15–0.24 MW, depending project/source phase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Small hydro; current status needs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Should be listed as St. Mary’s River / Mary’s Harbour site, not “Mary’s Harbour River.”</w:t>
            </w:r>
          </w:p>
        </w:tc>
      </w:tr>
    </w:tbl>
    <w:p w:rsidR="00000000" w:rsidDel="00000000" w:rsidP="00000000" w:rsidRDefault="00000000" w:rsidRPr="00000000" w14:paraId="000000D0">
      <w:pPr>
        <w:pStyle w:val="Heading2"/>
        <w:keepNext w:val="0"/>
        <w:keepLines w:val="0"/>
        <w:rPr>
          <w:rFonts w:ascii="Baskervville Medium" w:cs="Baskervville Medium" w:eastAsia="Baskervville Medium" w:hAnsi="Baskervville Medium"/>
          <w:sz w:val="34"/>
          <w:szCs w:val="34"/>
        </w:rPr>
      </w:pPr>
      <w:bookmarkStart w:colFirst="0" w:colLast="0" w:name="_xkcpgo6yp0vu" w:id="3"/>
      <w:bookmarkEnd w:id="3"/>
      <w:r w:rsidDel="00000000" w:rsidR="00000000" w:rsidRPr="00000000">
        <w:rPr>
          <w:rFonts w:ascii="Baskervville Medium" w:cs="Baskervville Medium" w:eastAsia="Baskervville Medium" w:hAnsi="Baskervville Medium"/>
          <w:sz w:val="34"/>
          <w:szCs w:val="34"/>
          <w:rtl w:val="0"/>
        </w:rPr>
        <w:t xml:space="preserve">Interprovincial rivers to list separately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rivers are relevant because their headwaters or development alternatives involve Labrador, but they should be separated from Labrador-only rivers.</w:t>
      </w:r>
    </w:p>
    <w:tbl>
      <w:tblPr>
        <w:tblStyle w:val="Table2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2000"/>
        <w:gridCol w:w="5390"/>
        <w:tblGridChange w:id="0">
          <w:tblGrid>
            <w:gridCol w:w="1955"/>
            <w:gridCol w:w="2000"/>
            <w:gridCol w:w="53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Potential / capacity range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St. Paul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149–250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Interprovincial / identified; not confirmed as Labrador-only development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St. Augustine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127–250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Interprovincial / identified; not confirmed as Labrador-only development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Little Mecatina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186–1,040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Interprovincial / identified; not confirmed as Labrador-only development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Natashquan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56–563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Interprovincial / identified; not confirmed as Labrador-only development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Romaine 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1,330 MW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Interprovincial / identified; Québec-side development context should be checked separately</w:t>
            </w:r>
          </w:p>
        </w:tc>
      </w:tr>
    </w:tbl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2002 Royal Commission source notes that ranges for these interprovincial rivers depend on alternative diversion schemes and plant locations, and that the engineering work was preliminary. (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Government of Newfoundland and Labrador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5">
      <w:pPr>
        <w:pStyle w:val="Heading2"/>
        <w:keepNext w:val="0"/>
        <w:keepLines w:val="0"/>
        <w:rPr>
          <w:rFonts w:ascii="Baskervville Medium" w:cs="Baskervville Medium" w:eastAsia="Baskervville Medium" w:hAnsi="Baskervville Medium"/>
          <w:sz w:val="34"/>
          <w:szCs w:val="34"/>
        </w:rPr>
      </w:pPr>
      <w:bookmarkStart w:colFirst="0" w:colLast="0" w:name="_gzq33jbgsqso" w:id="4"/>
      <w:bookmarkEnd w:id="4"/>
      <w:r w:rsidDel="00000000" w:rsidR="00000000" w:rsidRPr="00000000">
        <w:rPr>
          <w:rFonts w:ascii="Baskervville Medium" w:cs="Baskervville Medium" w:eastAsia="Baskervville Medium" w:hAnsi="Baskervville Medium"/>
          <w:sz w:val="34"/>
          <w:szCs w:val="34"/>
          <w:rtl w:val="0"/>
        </w:rPr>
        <w:t xml:space="preserve">Key caveats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strongest current-status evidence is for </w:t>
      </w:r>
      <w:r w:rsidDel="00000000" w:rsidR="00000000" w:rsidRPr="00000000">
        <w:rPr>
          <w:b w:val="1"/>
          <w:bCs w:val="1"/>
          <w:rtl w:val="0"/>
        </w:rPr>
        <w:t xml:space="preserve">Churchill Falls, Muskrat Falls and Menihek</w:t>
      </w:r>
      <w:r w:rsidDel="00000000" w:rsidR="00000000" w:rsidRPr="00000000">
        <w:rPr>
          <w:rtl w:val="0"/>
        </w:rPr>
        <w:t xml:space="preserve">, because they are listed by Newfoundland and Labrador Hydro as operating Labrador hydro assets. (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Newfoundland and Labrador Hydro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strongest current planned-development evidence is for </w:t>
      </w:r>
      <w:r w:rsidDel="00000000" w:rsidR="00000000" w:rsidRPr="00000000">
        <w:rPr>
          <w:b w:val="1"/>
          <w:bCs w:val="1"/>
          <w:rtl w:val="0"/>
        </w:rPr>
        <w:t xml:space="preserve">Gull Island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Churchill Falls expansion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Churchill Falls upgrades</w:t>
      </w:r>
      <w:r w:rsidDel="00000000" w:rsidR="00000000" w:rsidRPr="00000000">
        <w:rPr>
          <w:rtl w:val="0"/>
        </w:rPr>
        <w:t xml:space="preserve">, because they are described in the 2024 official NL–Québec energy partnership materials as new developments or capacity increases, but the same source says the MOU is non-binding until a definitive agreement is reached. (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Government of Newfoundland and Labrador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remaining large-river figures are mostly </w:t>
      </w:r>
      <w:r w:rsidDel="00000000" w:rsidR="00000000" w:rsidRPr="00000000">
        <w:rPr>
          <w:b w:val="1"/>
          <w:bCs w:val="1"/>
          <w:rtl w:val="0"/>
        </w:rPr>
        <w:t xml:space="preserve">historical or preliminary potential estimates</w:t>
      </w:r>
      <w:r w:rsidDel="00000000" w:rsidR="00000000" w:rsidRPr="00000000">
        <w:rPr>
          <w:rtl w:val="0"/>
        </w:rPr>
        <w:t xml:space="preserve">, not evidence of current projects. The 2002 list explicitly warns that the site capacities are approximate and could change significantly after further study.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Government of Newfoundland and Labrador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Baskervville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Baskervville Medium" w:cs="Baskervville Medium" w:eastAsia="Baskervville Medium" w:hAnsi="Baskervville Medium"/>
        <w:color w:val="1f1f1f"/>
        <w:sz w:val="24"/>
        <w:szCs w:val="24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color w:val="1e6864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b w:val="1"/>
      <w:bCs w:val="1"/>
      <w:color w:val="1f1f1f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b w:val="1"/>
      <w:bCs w:val="1"/>
      <w:color w:val="1f1f1f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b w:val="1"/>
      <w:bCs w:val="1"/>
      <w:color w:val="1f1f1f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b w:val="1"/>
      <w:bCs w:val="1"/>
      <w:i w:val="1"/>
      <w:iCs w:val="1"/>
      <w:color w:val="1f1f1f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b w:val="1"/>
      <w:bCs w:val="1"/>
      <w:i w:val="1"/>
      <w:iCs w:val="1"/>
      <w:color w:val="1f1f1f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color w:val="1e6864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1f1f1f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gov.nl.ca/publicat/royalcomm/research/Churchill.pdf" TargetMode="External"/><Relationship Id="rId9" Type="http://schemas.openxmlformats.org/officeDocument/2006/relationships/hyperlink" Target="https://www.gov.nl.ca/releases/2024/exec/1212n01/?utm_source=chatgpt.com" TargetMode="External"/><Relationship Id="rId5" Type="http://schemas.openxmlformats.org/officeDocument/2006/relationships/styles" Target="styles.xml"/><Relationship Id="rId6" Type="http://schemas.openxmlformats.org/officeDocument/2006/relationships/hyperlink" Target="https://nlhydro.com/about-us/our-electricity-system/our-generation-assets/" TargetMode="External"/><Relationship Id="rId7" Type="http://schemas.openxmlformats.org/officeDocument/2006/relationships/hyperlink" Target="https://www.gov.nl.ca/publicat/royalcomm/research/Churchill.pdf" TargetMode="External"/><Relationship Id="rId8" Type="http://schemas.openxmlformats.org/officeDocument/2006/relationships/hyperlink" Target="https://nlhydro.com/about-us/our-electricity-system/our-generation-assets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1" Type="http://schemas.openxmlformats.org/officeDocument/2006/relationships/font" Target="fonts/InterMedium-italic.ttf"/><Relationship Id="rId10" Type="http://schemas.openxmlformats.org/officeDocument/2006/relationships/font" Target="fonts/InterMedium-bold.ttf"/><Relationship Id="rId12" Type="http://schemas.openxmlformats.org/officeDocument/2006/relationships/font" Target="fonts/InterMedium-boldItalic.ttf"/><Relationship Id="rId9" Type="http://schemas.openxmlformats.org/officeDocument/2006/relationships/font" Target="fonts/InterMedium-regular.ttf"/><Relationship Id="rId5" Type="http://schemas.openxmlformats.org/officeDocument/2006/relationships/font" Target="fonts/BaskervvilleMedium-regular.ttf"/><Relationship Id="rId6" Type="http://schemas.openxmlformats.org/officeDocument/2006/relationships/font" Target="fonts/BaskervvilleMedium-bold.ttf"/><Relationship Id="rId7" Type="http://schemas.openxmlformats.org/officeDocument/2006/relationships/font" Target="fonts/BaskervvilleMedium-italic.ttf"/><Relationship Id="rId8" Type="http://schemas.openxmlformats.org/officeDocument/2006/relationships/font" Target="fonts/Baskervville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