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rPr>
          <w:b w:val="1"/>
          <w:bCs w:val="1"/>
          <w:color w:val="1f1f1f"/>
          <w:sz w:val="46"/>
          <w:szCs w:val="46"/>
        </w:rPr>
      </w:pPr>
      <w:bookmarkStart w:colFirst="0" w:colLast="0" w:name="_6a6b95x5x79e" w:id="0"/>
      <w:bookmarkEnd w:id="0"/>
      <w:r w:rsidDel="00000000" w:rsidR="00000000" w:rsidRPr="00000000">
        <w:rPr>
          <w:b w:val="1"/>
          <w:bCs w:val="1"/>
          <w:color w:val="1f1f1f"/>
          <w:sz w:val="46"/>
          <w:szCs w:val="46"/>
          <w:rtl w:val="0"/>
        </w:rPr>
        <w:t xml:space="preserve">Rapport — Répartition des coûts d’une ferme de serveurs au Canada, incluant le refroidissement</w:t>
      </w:r>
    </w:p>
    <w:p w:rsidR="00000000" w:rsidDel="00000000" w:rsidP="00000000" w:rsidRDefault="00000000" w:rsidRPr="00000000" w14:paraId="00000002">
      <w:pPr>
        <w:pStyle w:val="Heading2"/>
        <w:keepNext w:val="0"/>
        <w:keepLines w:val="0"/>
        <w:rPr>
          <w:rFonts w:ascii="Baskervville Medium" w:cs="Baskervville Medium" w:eastAsia="Baskervville Medium" w:hAnsi="Baskervville Medium"/>
          <w:sz w:val="34"/>
          <w:szCs w:val="34"/>
        </w:rPr>
      </w:pPr>
      <w:bookmarkStart w:colFirst="0" w:colLast="0" w:name="_6g6rua7siebc" w:id="1"/>
      <w:bookmarkEnd w:id="1"/>
      <w:r w:rsidDel="00000000" w:rsidR="00000000" w:rsidRPr="00000000">
        <w:rPr>
          <w:rFonts w:ascii="Baskervville Medium" w:cs="Baskervville Medium" w:eastAsia="Baskervville Medium" w:hAnsi="Baskervville Medium"/>
          <w:sz w:val="34"/>
          <w:szCs w:val="34"/>
          <w:rtl w:val="0"/>
        </w:rPr>
        <w:t xml:space="preserve">1. Résumé exécutif</w:t>
      </w:r>
    </w:p>
    <w:p w:rsidR="00000000" w:rsidDel="00000000" w:rsidP="00000000" w:rsidRDefault="00000000" w:rsidRPr="00000000" w14:paraId="00000003">
      <w:pPr>
        <w:spacing w:after="240" w:before="240" w:lineRule="auto"/>
        <w:rPr/>
      </w:pPr>
      <w:r w:rsidDel="00000000" w:rsidR="00000000" w:rsidRPr="00000000">
        <w:rPr>
          <w:rtl w:val="0"/>
        </w:rPr>
        <w:t xml:space="preserve">Pour une ferme de serveurs au Canada, surtout au Québec, une estimation réaliste du coût total annualisé est :</w:t>
      </w:r>
    </w:p>
    <w:tbl>
      <w:tblPr>
        <w:tblStyle w:val="Table1"/>
        <w:tblW w:w="91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50"/>
        <w:gridCol w:w="2840"/>
        <w:tblGridChange w:id="0">
          <w:tblGrid>
            <w:gridCol w:w="6350"/>
            <w:gridCol w:w="2840"/>
          </w:tblGrid>
        </w:tblGridChange>
      </w:tblGrid>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4">
            <w:pPr>
              <w:jc w:val="center"/>
              <w:rPr/>
            </w:pPr>
            <w:r w:rsidDel="00000000" w:rsidR="00000000" w:rsidRPr="00000000">
              <w:rPr>
                <w:b w:val="1"/>
                <w:bCs w:val="1"/>
                <w:rtl w:val="0"/>
              </w:rPr>
              <w:t xml:space="preserve">Poste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jc w:val="center"/>
              <w:rPr/>
            </w:pPr>
            <w:r w:rsidDel="00000000" w:rsidR="00000000" w:rsidRPr="00000000">
              <w:rPr>
                <w:b w:val="1"/>
                <w:bCs w:val="1"/>
                <w:rtl w:val="0"/>
              </w:rPr>
              <w:t xml:space="preserve">Part typique du coût total</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rtl w:val="0"/>
              </w:rPr>
              <w:t xml:space="preserve">Serveurs, GPU, stockage, réseau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b w:val="1"/>
                <w:bCs w:val="1"/>
                <w:rtl w:val="0"/>
              </w:rPr>
              <w:t xml:space="preserve">50–65 %</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Infrastructure bâtiment + électrique + sécurité + réseau physique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b w:val="1"/>
                <w:bCs w:val="1"/>
                <w:rtl w:val="0"/>
              </w:rPr>
              <w:t xml:space="preserve">15–25 %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A">
            <w:pPr>
              <w:rPr/>
            </w:pPr>
            <w:r w:rsidDel="00000000" w:rsidR="00000000" w:rsidRPr="00000000">
              <w:rPr>
                <w:rtl w:val="0"/>
              </w:rPr>
              <w:t xml:space="preserve">Électricité totale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B">
            <w:pPr>
              <w:rPr/>
            </w:pPr>
            <w:r w:rsidDel="00000000" w:rsidR="00000000" w:rsidRPr="00000000">
              <w:rPr>
                <w:b w:val="1"/>
                <w:bCs w:val="1"/>
                <w:rtl w:val="0"/>
              </w:rPr>
              <w:t xml:space="preserve">10–25 %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C">
            <w:pPr>
              <w:rPr/>
            </w:pPr>
            <w:r w:rsidDel="00000000" w:rsidR="00000000" w:rsidRPr="00000000">
              <w:rPr>
                <w:rtl w:val="0"/>
              </w:rPr>
              <w:t xml:space="preserve">Refroidissement total, inclus dans les deux lignes ci-dessus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D">
            <w:pPr>
              <w:rPr/>
            </w:pPr>
            <w:r w:rsidDel="00000000" w:rsidR="00000000" w:rsidRPr="00000000">
              <w:rPr>
                <w:b w:val="1"/>
                <w:bCs w:val="1"/>
                <w:rtl w:val="0"/>
              </w:rPr>
              <w:t xml:space="preserve">8–15 %</w:t>
            </w:r>
            <w:r w:rsidDel="00000000" w:rsidR="00000000" w:rsidRPr="00000000">
              <w:rPr>
                <w:rtl w:val="0"/>
              </w:rPr>
            </w:r>
          </w:p>
        </w:tc>
      </w:tr>
    </w:tbl>
    <w:p w:rsidR="00000000" w:rsidDel="00000000" w:rsidP="00000000" w:rsidRDefault="00000000" w:rsidRPr="00000000" w14:paraId="0000000E">
      <w:pPr>
        <w:spacing w:after="240" w:before="240" w:lineRule="auto"/>
        <w:rPr/>
      </w:pPr>
      <w:r w:rsidDel="00000000" w:rsidR="00000000" w:rsidRPr="00000000">
        <w:rPr>
          <w:rtl w:val="0"/>
        </w:rPr>
        <w:t xml:space="preserve">La proportion simple à retenir est donc :</w:t>
      </w:r>
    </w:p>
    <w:p w:rsidR="00000000" w:rsidDel="00000000" w:rsidP="00000000" w:rsidRDefault="00000000" w:rsidRPr="00000000" w14:paraId="0000000F">
      <w:pPr>
        <w:spacing w:after="240" w:before="240" w:lineRule="auto"/>
        <w:rPr>
          <w:b w:val="1"/>
          <w:bCs w:val="1"/>
        </w:rPr>
      </w:pPr>
      <w:r w:rsidDel="00000000" w:rsidR="00000000" w:rsidRPr="00000000">
        <w:rPr>
          <w:b w:val="1"/>
          <w:bCs w:val="1"/>
          <w:rtl w:val="0"/>
        </w:rPr>
        <w:t xml:space="preserve">≈ 75–85 % infrastructure / serveurs</w:t>
        <w:br w:type="textWrapping"/>
        <w:t xml:space="preserve">≈ 15–25 % électricité</w:t>
        <w:br w:type="textWrapping"/>
        <w:t xml:space="preserve">dont ≈ 8–15 % du coût total lié au refroidissement</w:t>
      </w:r>
    </w:p>
    <w:p w:rsidR="00000000" w:rsidDel="00000000" w:rsidP="00000000" w:rsidRDefault="00000000" w:rsidRPr="00000000" w14:paraId="00000010">
      <w:pPr>
        <w:spacing w:after="240" w:before="240" w:lineRule="auto"/>
        <w:rPr/>
      </w:pPr>
      <w:r w:rsidDel="00000000" w:rsidR="00000000" w:rsidRPr="00000000">
        <w:rPr>
          <w:rtl w:val="0"/>
        </w:rPr>
        <w:t xml:space="preserve">Au Québec, cette part électrique pourrait augmenter pour les grands centres de données, car Hydro-Québec a proposé un tarif de </w:t>
      </w:r>
      <w:r w:rsidDel="00000000" w:rsidR="00000000" w:rsidRPr="00000000">
        <w:rPr>
          <w:b w:val="1"/>
          <w:bCs w:val="1"/>
          <w:rtl w:val="0"/>
        </w:rPr>
        <w:t xml:space="preserve">13 ¢/kWh</w:t>
      </w:r>
      <w:r w:rsidDel="00000000" w:rsidR="00000000" w:rsidRPr="00000000">
        <w:rPr>
          <w:rtl w:val="0"/>
        </w:rPr>
        <w:t xml:space="preserve"> pour les centres de données de plus de </w:t>
      </w:r>
      <w:r w:rsidDel="00000000" w:rsidR="00000000" w:rsidRPr="00000000">
        <w:rPr>
          <w:b w:val="1"/>
          <w:bCs w:val="1"/>
          <w:rtl w:val="0"/>
        </w:rPr>
        <w:t xml:space="preserve">5 MW</w:t>
      </w:r>
      <w:r w:rsidDel="00000000" w:rsidR="00000000" w:rsidRPr="00000000">
        <w:rPr>
          <w:rtl w:val="0"/>
        </w:rPr>
        <w:t xml:space="preserve">, applicable à partir de la deuxième moitié de 2026 sous réserve d’approbation réglementaire. (</w:t>
      </w:r>
      <w:hyperlink r:id="rId6">
        <w:r w:rsidDel="00000000" w:rsidR="00000000" w:rsidRPr="00000000">
          <w:rPr>
            <w:color w:val="1155cc"/>
            <w:u w:val="single"/>
            <w:rtl w:val="0"/>
          </w:rPr>
          <w:t xml:space="preserve">Hydro-Québec News</w:t>
        </w:r>
      </w:hyperlink>
      <w:r w:rsidDel="00000000" w:rsidR="00000000" w:rsidRPr="00000000">
        <w:rPr>
          <w:rtl w:val="0"/>
        </w:rPr>
        <w:t xml:space="preserve">)</w:t>
      </w:r>
    </w:p>
    <w:p w:rsidR="00000000" w:rsidDel="00000000" w:rsidP="00000000" w:rsidRDefault="00000000" w:rsidRPr="00000000" w14:paraId="0000001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2">
      <w:pPr>
        <w:pStyle w:val="Heading2"/>
        <w:keepNext w:val="0"/>
        <w:keepLines w:val="0"/>
        <w:rPr>
          <w:rFonts w:ascii="Baskervville Medium" w:cs="Baskervville Medium" w:eastAsia="Baskervville Medium" w:hAnsi="Baskervville Medium"/>
          <w:sz w:val="34"/>
          <w:szCs w:val="34"/>
        </w:rPr>
      </w:pPr>
      <w:bookmarkStart w:colFirst="0" w:colLast="0" w:name="_5oi8dfi72fy" w:id="2"/>
      <w:bookmarkEnd w:id="2"/>
      <w:r w:rsidDel="00000000" w:rsidR="00000000" w:rsidRPr="00000000">
        <w:rPr>
          <w:rFonts w:ascii="Baskervville Medium" w:cs="Baskervville Medium" w:eastAsia="Baskervville Medium" w:hAnsi="Baskervville Medium"/>
          <w:sz w:val="34"/>
          <w:szCs w:val="34"/>
          <w:rtl w:val="0"/>
        </w:rPr>
        <w:t xml:space="preserve">2. Définition des catégories de coûts</w:t>
      </w:r>
    </w:p>
    <w:p w:rsidR="00000000" w:rsidDel="00000000" w:rsidP="00000000" w:rsidRDefault="00000000" w:rsidRPr="00000000" w14:paraId="00000013">
      <w:pPr>
        <w:pStyle w:val="Heading3"/>
        <w:keepNext w:val="0"/>
        <w:keepLines w:val="0"/>
        <w:rPr>
          <w:rFonts w:ascii="Baskervville Medium" w:cs="Baskervville Medium" w:eastAsia="Baskervville Medium" w:hAnsi="Baskervville Medium"/>
          <w:sz w:val="26"/>
          <w:szCs w:val="26"/>
        </w:rPr>
      </w:pPr>
      <w:bookmarkStart w:colFirst="0" w:colLast="0" w:name="_36jveqqcfns7" w:id="3"/>
      <w:bookmarkEnd w:id="3"/>
      <w:r w:rsidDel="00000000" w:rsidR="00000000" w:rsidRPr="00000000">
        <w:rPr>
          <w:rFonts w:ascii="Baskervville Medium" w:cs="Baskervville Medium" w:eastAsia="Baskervville Medium" w:hAnsi="Baskervville Medium"/>
          <w:sz w:val="26"/>
          <w:szCs w:val="26"/>
          <w:rtl w:val="0"/>
        </w:rPr>
        <w:t xml:space="preserve">A. Serveurs et équipements IT</w:t>
      </w:r>
    </w:p>
    <w:p w:rsidR="00000000" w:rsidDel="00000000" w:rsidP="00000000" w:rsidRDefault="00000000" w:rsidRPr="00000000" w14:paraId="00000014">
      <w:pPr>
        <w:spacing w:after="240" w:before="240" w:lineRule="auto"/>
        <w:rPr/>
      </w:pPr>
      <w:r w:rsidDel="00000000" w:rsidR="00000000" w:rsidRPr="00000000">
        <w:rPr>
          <w:rtl w:val="0"/>
        </w:rPr>
        <w:t xml:space="preserve">Ce poste comprend :</w:t>
      </w:r>
    </w:p>
    <w:tbl>
      <w:tblPr>
        <w:tblStyle w:val="Table2"/>
        <w:tblW w:w="55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0"/>
        <w:gridCol w:w="3845"/>
        <w:tblGridChange w:id="0">
          <w:tblGrid>
            <w:gridCol w:w="1670"/>
            <w:gridCol w:w="384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5">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6">
            <w:pPr>
              <w:jc w:val="center"/>
              <w:rPr/>
            </w:pPr>
            <w:r w:rsidDel="00000000" w:rsidR="00000000" w:rsidRPr="00000000">
              <w:rPr>
                <w:b w:val="1"/>
                <w:bCs w:val="1"/>
                <w:rtl w:val="0"/>
              </w:rPr>
              <w:t xml:space="preserve">Exemples</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7">
            <w:pPr>
              <w:rPr/>
            </w:pPr>
            <w:r w:rsidDel="00000000" w:rsidR="00000000" w:rsidRPr="00000000">
              <w:rPr>
                <w:rtl w:val="0"/>
              </w:rPr>
              <w:t xml:space="preserve">Calcul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8">
            <w:pPr>
              <w:rPr/>
            </w:pPr>
            <w:r w:rsidDel="00000000" w:rsidR="00000000" w:rsidRPr="00000000">
              <w:rPr>
                <w:rtl w:val="0"/>
              </w:rPr>
              <w:t xml:space="preserve">serveurs CPU, GPU, accélérateurs IA</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9">
            <w:pPr>
              <w:rPr/>
            </w:pPr>
            <w:r w:rsidDel="00000000" w:rsidR="00000000" w:rsidRPr="00000000">
              <w:rPr>
                <w:rtl w:val="0"/>
              </w:rPr>
              <w:t xml:space="preserve">Stockage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A">
            <w:pPr>
              <w:rPr/>
            </w:pPr>
            <w:r w:rsidDel="00000000" w:rsidR="00000000" w:rsidRPr="00000000">
              <w:rPr>
                <w:rtl w:val="0"/>
              </w:rPr>
              <w:t xml:space="preserve">SSD, HDD, baies de stockage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B">
            <w:pPr>
              <w:rPr/>
            </w:pPr>
            <w:r w:rsidDel="00000000" w:rsidR="00000000" w:rsidRPr="00000000">
              <w:rPr>
                <w:rtl w:val="0"/>
              </w:rPr>
              <w:t xml:space="preserve">Réseau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C">
            <w:pPr>
              <w:rPr/>
            </w:pPr>
            <w:r w:rsidDel="00000000" w:rsidR="00000000" w:rsidRPr="00000000">
              <w:rPr>
                <w:rtl w:val="0"/>
              </w:rPr>
              <w:t xml:space="preserve">switches, cartes réseau, fibre interne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D">
            <w:pPr>
              <w:rPr/>
            </w:pPr>
            <w:r w:rsidDel="00000000" w:rsidR="00000000" w:rsidRPr="00000000">
              <w:rPr>
                <w:rtl w:val="0"/>
              </w:rPr>
              <w:t xml:space="preserve">Remplacement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1E">
            <w:pPr>
              <w:rPr/>
            </w:pPr>
            <w:r w:rsidDel="00000000" w:rsidR="00000000" w:rsidRPr="00000000">
              <w:rPr>
                <w:rtl w:val="0"/>
              </w:rPr>
              <w:t xml:space="preserve">renouvellement tous les 3 à 5 ans</w:t>
            </w:r>
          </w:p>
        </w:tc>
      </w:tr>
    </w:tbl>
    <w:p w:rsidR="00000000" w:rsidDel="00000000" w:rsidP="00000000" w:rsidRDefault="00000000" w:rsidRPr="00000000" w14:paraId="0000001F">
      <w:pPr>
        <w:spacing w:after="240" w:before="240" w:lineRule="auto"/>
        <w:rPr/>
      </w:pPr>
      <w:r w:rsidDel="00000000" w:rsidR="00000000" w:rsidRPr="00000000">
        <w:rPr>
          <w:rtl w:val="0"/>
        </w:rPr>
        <w:t xml:space="preserve">Dans les grands centres de données, les serveurs restent souvent le poste principal. Le modèle de James Hamilton, cité par Data Center Knowledge, évaluait les coûts mensuels d’un grand centre à environ </w:t>
      </w:r>
      <w:r w:rsidDel="00000000" w:rsidR="00000000" w:rsidRPr="00000000">
        <w:rPr>
          <w:b w:val="1"/>
          <w:bCs w:val="1"/>
          <w:rtl w:val="0"/>
        </w:rPr>
        <w:t xml:space="preserve">57 % pour les serveurs</w:t>
      </w:r>
      <w:r w:rsidDel="00000000" w:rsidR="00000000" w:rsidRPr="00000000">
        <w:rPr>
          <w:rtl w:val="0"/>
        </w:rPr>
        <w:t xml:space="preserve">, </w:t>
      </w:r>
      <w:r w:rsidDel="00000000" w:rsidR="00000000" w:rsidRPr="00000000">
        <w:rPr>
          <w:b w:val="1"/>
          <w:bCs w:val="1"/>
          <w:rtl w:val="0"/>
        </w:rPr>
        <w:t xml:space="preserve">8 % pour le réseau</w:t>
      </w:r>
      <w:r w:rsidDel="00000000" w:rsidR="00000000" w:rsidRPr="00000000">
        <w:rPr>
          <w:rtl w:val="0"/>
        </w:rPr>
        <w:t xml:space="preserve">, </w:t>
      </w:r>
      <w:r w:rsidDel="00000000" w:rsidR="00000000" w:rsidRPr="00000000">
        <w:rPr>
          <w:b w:val="1"/>
          <w:bCs w:val="1"/>
          <w:rtl w:val="0"/>
        </w:rPr>
        <w:t xml:space="preserve">18 % pour distribution électrique + refroidissement</w:t>
      </w:r>
      <w:r w:rsidDel="00000000" w:rsidR="00000000" w:rsidRPr="00000000">
        <w:rPr>
          <w:rtl w:val="0"/>
        </w:rPr>
        <w:t xml:space="preserve">, </w:t>
      </w:r>
      <w:r w:rsidDel="00000000" w:rsidR="00000000" w:rsidRPr="00000000">
        <w:rPr>
          <w:b w:val="1"/>
          <w:bCs w:val="1"/>
          <w:rtl w:val="0"/>
        </w:rPr>
        <w:t xml:space="preserve">4 % autres infrastructures</w:t>
      </w:r>
      <w:r w:rsidDel="00000000" w:rsidR="00000000" w:rsidRPr="00000000">
        <w:rPr>
          <w:rtl w:val="0"/>
        </w:rPr>
        <w:t xml:space="preserve">, et </w:t>
      </w:r>
      <w:r w:rsidDel="00000000" w:rsidR="00000000" w:rsidRPr="00000000">
        <w:rPr>
          <w:b w:val="1"/>
          <w:bCs w:val="1"/>
          <w:rtl w:val="0"/>
        </w:rPr>
        <w:t xml:space="preserve">13 % pour l’électricité</w:t>
      </w:r>
      <w:r w:rsidDel="00000000" w:rsidR="00000000" w:rsidRPr="00000000">
        <w:rPr>
          <w:rtl w:val="0"/>
        </w:rPr>
        <w:t xml:space="preserve">. (</w:t>
      </w:r>
      <w:hyperlink r:id="rId7">
        <w:r w:rsidDel="00000000" w:rsidR="00000000" w:rsidRPr="00000000">
          <w:rPr>
            <w:color w:val="1155cc"/>
            <w:u w:val="single"/>
            <w:rtl w:val="0"/>
          </w:rPr>
          <w:t xml:space="preserve">DataCenterKnowledge</w:t>
        </w:r>
      </w:hyperlink>
      <w:r w:rsidDel="00000000" w:rsidR="00000000" w:rsidRPr="00000000">
        <w:rPr>
          <w:rtl w:val="0"/>
        </w:rPr>
        <w:t xml:space="preserve">)</w:t>
      </w:r>
    </w:p>
    <w:p w:rsidR="00000000" w:rsidDel="00000000" w:rsidP="00000000" w:rsidRDefault="00000000" w:rsidRPr="00000000" w14:paraId="00000020">
      <w:pPr>
        <w:pStyle w:val="Heading3"/>
        <w:keepNext w:val="0"/>
        <w:keepLines w:val="0"/>
        <w:rPr>
          <w:rFonts w:ascii="Baskervville Medium" w:cs="Baskervville Medium" w:eastAsia="Baskervville Medium" w:hAnsi="Baskervville Medium"/>
          <w:sz w:val="26"/>
          <w:szCs w:val="26"/>
        </w:rPr>
      </w:pPr>
      <w:bookmarkStart w:colFirst="0" w:colLast="0" w:name="_oqzkduo8001s" w:id="4"/>
      <w:bookmarkEnd w:id="4"/>
      <w:r w:rsidDel="00000000" w:rsidR="00000000" w:rsidRPr="00000000">
        <w:rPr>
          <w:rFonts w:ascii="Baskervville Medium" w:cs="Baskervville Medium" w:eastAsia="Baskervville Medium" w:hAnsi="Baskervville Medium"/>
          <w:sz w:val="26"/>
          <w:szCs w:val="26"/>
          <w:rtl w:val="0"/>
        </w:rPr>
        <w:t xml:space="preserve">B. Infrastructure physique</w:t>
      </w:r>
    </w:p>
    <w:p w:rsidR="00000000" w:rsidDel="00000000" w:rsidP="00000000" w:rsidRDefault="00000000" w:rsidRPr="00000000" w14:paraId="00000021">
      <w:pPr>
        <w:spacing w:after="240" w:before="240" w:lineRule="auto"/>
        <w:rPr/>
      </w:pPr>
      <w:r w:rsidDel="00000000" w:rsidR="00000000" w:rsidRPr="00000000">
        <w:rPr>
          <w:rtl w:val="0"/>
        </w:rPr>
        <w:t xml:space="preserve">Ce poste comprend :</w:t>
      </w:r>
    </w:p>
    <w:tbl>
      <w:tblPr>
        <w:tblStyle w:val="Table3"/>
        <w:tblW w:w="75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05"/>
        <w:gridCol w:w="5705"/>
        <w:tblGridChange w:id="0">
          <w:tblGrid>
            <w:gridCol w:w="1805"/>
            <w:gridCol w:w="570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2">
            <w:pPr>
              <w:jc w:val="center"/>
              <w:rPr/>
            </w:pPr>
            <w:r w:rsidDel="00000000" w:rsidR="00000000" w:rsidRPr="00000000">
              <w:rPr>
                <w:b w:val="1"/>
                <w:bCs w:val="1"/>
                <w:rtl w:val="0"/>
              </w:rPr>
              <w:t xml:space="preserve">Élément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3">
            <w:pPr>
              <w:jc w:val="center"/>
              <w:rPr/>
            </w:pPr>
            <w:r w:rsidDel="00000000" w:rsidR="00000000" w:rsidRPr="00000000">
              <w:rPr>
                <w:b w:val="1"/>
                <w:bCs w:val="1"/>
                <w:rtl w:val="0"/>
              </w:rPr>
              <w:t xml:space="preserve">Exemples</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4">
            <w:pPr>
              <w:rPr/>
            </w:pPr>
            <w:r w:rsidDel="00000000" w:rsidR="00000000" w:rsidRPr="00000000">
              <w:rPr>
                <w:rtl w:val="0"/>
              </w:rPr>
              <w:t xml:space="preserve">Bâtiment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5">
            <w:pPr>
              <w:rPr/>
            </w:pPr>
            <w:r w:rsidDel="00000000" w:rsidR="00000000" w:rsidRPr="00000000">
              <w:rPr>
                <w:rtl w:val="0"/>
              </w:rPr>
              <w:t xml:space="preserve">terrain, structure, salles techniques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6">
            <w:pPr>
              <w:rPr/>
            </w:pPr>
            <w:r w:rsidDel="00000000" w:rsidR="00000000" w:rsidRPr="00000000">
              <w:rPr>
                <w:rtl w:val="0"/>
              </w:rPr>
              <w:t xml:space="preserve">Électricité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7">
            <w:pPr>
              <w:rPr/>
            </w:pPr>
            <w:r w:rsidDel="00000000" w:rsidR="00000000" w:rsidRPr="00000000">
              <w:rPr>
                <w:rtl w:val="0"/>
              </w:rPr>
              <w:t xml:space="preserve">transformateurs, UPS, génératrices, PDUs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8">
            <w:pPr>
              <w:rPr/>
            </w:pPr>
            <w:r w:rsidDel="00000000" w:rsidR="00000000" w:rsidRPr="00000000">
              <w:rPr>
                <w:rtl w:val="0"/>
              </w:rPr>
              <w:t xml:space="preserve">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9">
            <w:pPr>
              <w:rPr/>
            </w:pPr>
            <w:r w:rsidDel="00000000" w:rsidR="00000000" w:rsidRPr="00000000">
              <w:rPr>
                <w:rtl w:val="0"/>
              </w:rPr>
              <w:t xml:space="preserve">chillers, CRAH/CRAC, pompes, tours d’eau, échangeurs</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A">
            <w:pPr>
              <w:rPr/>
            </w:pPr>
            <w:r w:rsidDel="00000000" w:rsidR="00000000" w:rsidRPr="00000000">
              <w:rPr>
                <w:rtl w:val="0"/>
              </w:rPr>
              <w:t xml:space="preserve">Sécurité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B">
            <w:pPr>
              <w:rPr/>
            </w:pPr>
            <w:r w:rsidDel="00000000" w:rsidR="00000000" w:rsidRPr="00000000">
              <w:rPr>
                <w:rtl w:val="0"/>
              </w:rPr>
              <w:t xml:space="preserve">contrôle d’accès, incendie, surveillance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C">
            <w:pPr>
              <w:rPr/>
            </w:pPr>
            <w:r w:rsidDel="00000000" w:rsidR="00000000" w:rsidRPr="00000000">
              <w:rPr>
                <w:rtl w:val="0"/>
              </w:rPr>
              <w:t xml:space="preserve">Redondance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2D">
            <w:pPr>
              <w:rPr/>
            </w:pPr>
            <w:r w:rsidDel="00000000" w:rsidR="00000000" w:rsidRPr="00000000">
              <w:rPr>
                <w:rtl w:val="0"/>
              </w:rPr>
              <w:t xml:space="preserve">N+1, 2N, double alimentation</w:t>
            </w:r>
          </w:p>
        </w:tc>
      </w:tr>
    </w:tbl>
    <w:p w:rsidR="00000000" w:rsidDel="00000000" w:rsidP="00000000" w:rsidRDefault="00000000" w:rsidRPr="00000000" w14:paraId="0000002E">
      <w:pPr>
        <w:spacing w:after="240" w:before="240" w:lineRule="auto"/>
        <w:rPr/>
      </w:pPr>
      <w:r w:rsidDel="00000000" w:rsidR="00000000" w:rsidRPr="00000000">
        <w:rPr>
          <w:rtl w:val="0"/>
        </w:rPr>
        <w:t xml:space="preserve">Dans la construction, les systèmes électriques sont souvent le poste le plus lourd, autour de </w:t>
      </w:r>
      <w:r w:rsidDel="00000000" w:rsidR="00000000" w:rsidRPr="00000000">
        <w:rPr>
          <w:b w:val="1"/>
          <w:bCs w:val="1"/>
          <w:rtl w:val="0"/>
        </w:rPr>
        <w:t xml:space="preserve">40–45 %</w:t>
      </w:r>
      <w:r w:rsidDel="00000000" w:rsidR="00000000" w:rsidRPr="00000000">
        <w:rPr>
          <w:rtl w:val="0"/>
        </w:rPr>
        <w:t xml:space="preserve"> du coût de construction, tandis que les systèmes HVAC/refroidissement sont souvent autour de </w:t>
      </w:r>
      <w:r w:rsidDel="00000000" w:rsidR="00000000" w:rsidRPr="00000000">
        <w:rPr>
          <w:b w:val="1"/>
          <w:bCs w:val="1"/>
          <w:rtl w:val="0"/>
        </w:rPr>
        <w:t xml:space="preserve">15–20 %</w:t>
      </w:r>
      <w:r w:rsidDel="00000000" w:rsidR="00000000" w:rsidRPr="00000000">
        <w:rPr>
          <w:rtl w:val="0"/>
        </w:rPr>
        <w:t xml:space="preserve">. (</w:t>
      </w:r>
      <w:hyperlink r:id="rId8">
        <w:r w:rsidDel="00000000" w:rsidR="00000000" w:rsidRPr="00000000">
          <w:rPr>
            <w:color w:val="1155cc"/>
            <w:u w:val="single"/>
            <w:rtl w:val="0"/>
          </w:rPr>
          <w:t xml:space="preserve">ENCOR Advisors</w:t>
        </w:r>
      </w:hyperlink>
      <w:r w:rsidDel="00000000" w:rsidR="00000000" w:rsidRPr="00000000">
        <w:rPr>
          <w:rtl w:val="0"/>
        </w:rPr>
        <w:t xml:space="preserve">)</w:t>
      </w:r>
    </w:p>
    <w:p w:rsidR="00000000" w:rsidDel="00000000" w:rsidP="00000000" w:rsidRDefault="00000000" w:rsidRPr="00000000" w14:paraId="0000002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0">
      <w:pPr>
        <w:pStyle w:val="Heading2"/>
        <w:keepNext w:val="0"/>
        <w:keepLines w:val="0"/>
        <w:rPr>
          <w:rFonts w:ascii="Baskervville Medium" w:cs="Baskervville Medium" w:eastAsia="Baskervville Medium" w:hAnsi="Baskervville Medium"/>
          <w:sz w:val="34"/>
          <w:szCs w:val="34"/>
        </w:rPr>
      </w:pPr>
      <w:bookmarkStart w:colFirst="0" w:colLast="0" w:name="_d1xth44r4hmw" w:id="5"/>
      <w:bookmarkEnd w:id="5"/>
      <w:r w:rsidDel="00000000" w:rsidR="00000000" w:rsidRPr="00000000">
        <w:rPr>
          <w:rFonts w:ascii="Baskervville Medium" w:cs="Baskervville Medium" w:eastAsia="Baskervville Medium" w:hAnsi="Baskervville Medium"/>
          <w:sz w:val="34"/>
          <w:szCs w:val="34"/>
          <w:rtl w:val="0"/>
        </w:rPr>
        <w:t xml:space="preserve">3. Portion électricité</w:t>
      </w:r>
    </w:p>
    <w:p w:rsidR="00000000" w:rsidDel="00000000" w:rsidP="00000000" w:rsidRDefault="00000000" w:rsidRPr="00000000" w14:paraId="00000031">
      <w:pPr>
        <w:spacing w:after="240" w:before="240" w:lineRule="auto"/>
        <w:rPr/>
      </w:pPr>
      <w:r w:rsidDel="00000000" w:rsidR="00000000" w:rsidRPr="00000000">
        <w:rPr>
          <w:rtl w:val="0"/>
        </w:rPr>
        <w:t xml:space="preserve">L’électricité totale ne sert pas seulement aux serveurs. Elle couvre :</w:t>
      </w:r>
    </w:p>
    <w:tbl>
      <w:tblPr>
        <w:tblStyle w:val="Table4"/>
        <w:tblW w:w="80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830"/>
        <w:gridCol w:w="4265"/>
        <w:tblGridChange w:id="0">
          <w:tblGrid>
            <w:gridCol w:w="3830"/>
            <w:gridCol w:w="426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2">
            <w:pPr>
              <w:jc w:val="center"/>
              <w:rPr/>
            </w:pPr>
            <w:r w:rsidDel="00000000" w:rsidR="00000000" w:rsidRPr="00000000">
              <w:rPr>
                <w:b w:val="1"/>
                <w:bCs w:val="1"/>
                <w:rtl w:val="0"/>
              </w:rPr>
              <w:t xml:space="preserve">Usage électrique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3">
            <w:pPr>
              <w:jc w:val="center"/>
              <w:rPr/>
            </w:pPr>
            <w:r w:rsidDel="00000000" w:rsidR="00000000" w:rsidRPr="00000000">
              <w:rPr>
                <w:b w:val="1"/>
                <w:bCs w:val="1"/>
                <w:rtl w:val="0"/>
              </w:rPr>
              <w:t xml:space="preserve">Part typique de l’électricité consommée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4">
            <w:pPr>
              <w:rPr/>
            </w:pPr>
            <w:r w:rsidDel="00000000" w:rsidR="00000000" w:rsidRPr="00000000">
              <w:rPr>
                <w:rtl w:val="0"/>
              </w:rPr>
              <w:t xml:space="preserve">Serveurs et équipements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5">
            <w:pPr>
              <w:rPr/>
            </w:pPr>
            <w:r w:rsidDel="00000000" w:rsidR="00000000" w:rsidRPr="00000000">
              <w:rPr>
                <w:b w:val="1"/>
                <w:bCs w:val="1"/>
                <w:rtl w:val="0"/>
              </w:rPr>
              <w:t xml:space="preserve">50–70 %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6">
            <w:pPr>
              <w:rPr/>
            </w:pPr>
            <w:r w:rsidDel="00000000" w:rsidR="00000000" w:rsidRPr="00000000">
              <w:rPr>
                <w:rtl w:val="0"/>
              </w:rPr>
              <w:t xml:space="preserve">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7">
            <w:pPr>
              <w:rPr/>
            </w:pPr>
            <w:r w:rsidDel="00000000" w:rsidR="00000000" w:rsidRPr="00000000">
              <w:rPr>
                <w:b w:val="1"/>
                <w:bCs w:val="1"/>
                <w:rtl w:val="0"/>
              </w:rPr>
              <w:t xml:space="preserve">15–40 %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8">
            <w:pPr>
              <w:rPr/>
            </w:pPr>
            <w:r w:rsidDel="00000000" w:rsidR="00000000" w:rsidRPr="00000000">
              <w:rPr>
                <w:rtl w:val="0"/>
              </w:rPr>
              <w:t xml:space="preserve">UPS / pertes électriques / distribution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9">
            <w:pPr>
              <w:rPr/>
            </w:pPr>
            <w:r w:rsidDel="00000000" w:rsidR="00000000" w:rsidRPr="00000000">
              <w:rPr>
                <w:b w:val="1"/>
                <w:bCs w:val="1"/>
                <w:rtl w:val="0"/>
              </w:rPr>
              <w:t xml:space="preserve">5–15 %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A">
            <w:pPr>
              <w:rPr/>
            </w:pPr>
            <w:r w:rsidDel="00000000" w:rsidR="00000000" w:rsidRPr="00000000">
              <w:rPr>
                <w:rtl w:val="0"/>
              </w:rPr>
              <w:t xml:space="preserve">Éclairage et autres auxiliaires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3B">
            <w:pPr>
              <w:rPr/>
            </w:pPr>
            <w:r w:rsidDel="00000000" w:rsidR="00000000" w:rsidRPr="00000000">
              <w:rPr>
                <w:b w:val="1"/>
                <w:bCs w:val="1"/>
                <w:rtl w:val="0"/>
              </w:rPr>
              <w:t xml:space="preserve">1–5 %</w:t>
            </w:r>
            <w:r w:rsidDel="00000000" w:rsidR="00000000" w:rsidRPr="00000000">
              <w:rPr>
                <w:rtl w:val="0"/>
              </w:rPr>
            </w:r>
          </w:p>
        </w:tc>
      </w:tr>
    </w:tbl>
    <w:p w:rsidR="00000000" w:rsidDel="00000000" w:rsidP="00000000" w:rsidRDefault="00000000" w:rsidRPr="00000000" w14:paraId="0000003C">
      <w:pPr>
        <w:spacing w:after="240" w:before="240" w:lineRule="auto"/>
        <w:rPr/>
      </w:pPr>
      <w:r w:rsidDel="00000000" w:rsidR="00000000" w:rsidRPr="00000000">
        <w:rPr>
          <w:rtl w:val="0"/>
        </w:rPr>
        <w:t xml:space="preserve">Ressources naturelles Canada indique qu’environ </w:t>
      </w:r>
      <w:r w:rsidDel="00000000" w:rsidR="00000000" w:rsidRPr="00000000">
        <w:rPr>
          <w:b w:val="1"/>
          <w:bCs w:val="1"/>
          <w:rtl w:val="0"/>
        </w:rPr>
        <w:t xml:space="preserve">la moitié</w:t>
      </w:r>
      <w:r w:rsidDel="00000000" w:rsidR="00000000" w:rsidRPr="00000000">
        <w:rPr>
          <w:rtl w:val="0"/>
        </w:rPr>
        <w:t xml:space="preserve"> de l’énergie d’un centre de données est consommée par les serveurs, et qu’environ </w:t>
      </w:r>
      <w:r w:rsidDel="00000000" w:rsidR="00000000" w:rsidRPr="00000000">
        <w:rPr>
          <w:b w:val="1"/>
          <w:bCs w:val="1"/>
          <w:rtl w:val="0"/>
        </w:rPr>
        <w:t xml:space="preserve">40 %</w:t>
      </w:r>
      <w:r w:rsidDel="00000000" w:rsidR="00000000" w:rsidRPr="00000000">
        <w:rPr>
          <w:rtl w:val="0"/>
        </w:rPr>
        <w:t xml:space="preserve"> peut aller au refroidissement dans des configurations moins efficaces ou classiques. (</w:t>
      </w:r>
      <w:hyperlink r:id="rId9">
        <w:r w:rsidDel="00000000" w:rsidR="00000000" w:rsidRPr="00000000">
          <w:rPr>
            <w:color w:val="1155cc"/>
            <w:u w:val="single"/>
            <w:rtl w:val="0"/>
          </w:rPr>
          <w:t xml:space="preserve">Natural Resources Canada</w:t>
        </w:r>
      </w:hyperlink>
      <w:r w:rsidDel="00000000" w:rsidR="00000000" w:rsidRPr="00000000">
        <w:rPr>
          <w:rtl w:val="0"/>
        </w:rPr>
        <w:t xml:space="preserve">) Une autre ventilation citée par Data Center Knowledge donne </w:t>
      </w:r>
      <w:r w:rsidDel="00000000" w:rsidR="00000000" w:rsidRPr="00000000">
        <w:rPr>
          <w:b w:val="1"/>
          <w:bCs w:val="1"/>
          <w:rtl w:val="0"/>
        </w:rPr>
        <w:t xml:space="preserve">55 %</w:t>
      </w:r>
      <w:r w:rsidDel="00000000" w:rsidR="00000000" w:rsidRPr="00000000">
        <w:rPr>
          <w:rtl w:val="0"/>
        </w:rPr>
        <w:t xml:space="preserve"> pour serveurs/équipements, </w:t>
      </w:r>
      <w:r w:rsidDel="00000000" w:rsidR="00000000" w:rsidRPr="00000000">
        <w:rPr>
          <w:b w:val="1"/>
          <w:bCs w:val="1"/>
          <w:rtl w:val="0"/>
        </w:rPr>
        <w:t xml:space="preserve">30 %</w:t>
      </w:r>
      <w:r w:rsidDel="00000000" w:rsidR="00000000" w:rsidRPr="00000000">
        <w:rPr>
          <w:rtl w:val="0"/>
        </w:rPr>
        <w:t xml:space="preserve"> pour le refroidissement, </w:t>
      </w:r>
      <w:r w:rsidDel="00000000" w:rsidR="00000000" w:rsidRPr="00000000">
        <w:rPr>
          <w:b w:val="1"/>
          <w:bCs w:val="1"/>
          <w:rtl w:val="0"/>
        </w:rPr>
        <w:t xml:space="preserve">12 %</w:t>
      </w:r>
      <w:r w:rsidDel="00000000" w:rsidR="00000000" w:rsidRPr="00000000">
        <w:rPr>
          <w:rtl w:val="0"/>
        </w:rPr>
        <w:t xml:space="preserve"> pour pertes de distribution/UPS, et </w:t>
      </w:r>
      <w:r w:rsidDel="00000000" w:rsidR="00000000" w:rsidRPr="00000000">
        <w:rPr>
          <w:b w:val="1"/>
          <w:bCs w:val="1"/>
          <w:rtl w:val="0"/>
        </w:rPr>
        <w:t xml:space="preserve">3 %</w:t>
      </w:r>
      <w:r w:rsidDel="00000000" w:rsidR="00000000" w:rsidRPr="00000000">
        <w:rPr>
          <w:rtl w:val="0"/>
        </w:rPr>
        <w:t xml:space="preserve"> pour l’éclairage. (</w:t>
      </w:r>
      <w:hyperlink r:id="rId10">
        <w:r w:rsidDel="00000000" w:rsidR="00000000" w:rsidRPr="00000000">
          <w:rPr>
            <w:color w:val="1155cc"/>
            <w:u w:val="single"/>
            <w:rtl w:val="0"/>
          </w:rPr>
          <w:t xml:space="preserve">DataCenterKnowledge</w:t>
        </w:r>
      </w:hyperlink>
      <w:r w:rsidDel="00000000" w:rsidR="00000000" w:rsidRPr="00000000">
        <w:rPr>
          <w:rtl w:val="0"/>
        </w:rPr>
        <w:t xml:space="preserve">)</w:t>
      </w:r>
    </w:p>
    <w:p w:rsidR="00000000" w:rsidDel="00000000" w:rsidP="00000000" w:rsidRDefault="00000000" w:rsidRPr="00000000" w14:paraId="000000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Style w:val="Heading2"/>
        <w:keepNext w:val="0"/>
        <w:keepLines w:val="0"/>
        <w:rPr>
          <w:rFonts w:ascii="Baskervville Medium" w:cs="Baskervville Medium" w:eastAsia="Baskervville Medium" w:hAnsi="Baskervville Medium"/>
          <w:sz w:val="34"/>
          <w:szCs w:val="34"/>
        </w:rPr>
      </w:pPr>
      <w:bookmarkStart w:colFirst="0" w:colLast="0" w:name="_3h6qas5ny6y6" w:id="6"/>
      <w:bookmarkEnd w:id="6"/>
      <w:r w:rsidDel="00000000" w:rsidR="00000000" w:rsidRPr="00000000">
        <w:rPr>
          <w:rFonts w:ascii="Baskervville Medium" w:cs="Baskervville Medium" w:eastAsia="Baskervville Medium" w:hAnsi="Baskervville Medium"/>
          <w:sz w:val="34"/>
          <w:szCs w:val="34"/>
          <w:rtl w:val="0"/>
        </w:rPr>
        <w:t xml:space="preserve">4. Le rôle du PUE</w:t>
      </w:r>
    </w:p>
    <w:p w:rsidR="00000000" w:rsidDel="00000000" w:rsidP="00000000" w:rsidRDefault="00000000" w:rsidRPr="00000000" w14:paraId="0000003F">
      <w:pPr>
        <w:spacing w:after="240" w:before="240" w:lineRule="auto"/>
        <w:rPr/>
      </w:pPr>
      <w:r w:rsidDel="00000000" w:rsidR="00000000" w:rsidRPr="00000000">
        <w:rPr>
          <w:rtl w:val="0"/>
        </w:rPr>
        <w:t xml:space="preserve">Le PUE, ou </w:t>
      </w:r>
      <w:r w:rsidDel="00000000" w:rsidR="00000000" w:rsidRPr="00000000">
        <w:rPr>
          <w:b w:val="1"/>
          <w:bCs w:val="1"/>
          <w:rtl w:val="0"/>
        </w:rPr>
        <w:t xml:space="preserve">Power Usage Effectiveness</w:t>
      </w:r>
      <w:r w:rsidDel="00000000" w:rsidR="00000000" w:rsidRPr="00000000">
        <w:rPr>
          <w:rtl w:val="0"/>
        </w:rPr>
        <w:t xml:space="preserve">, mesure :</w:t>
      </w:r>
    </w:p>
    <w:p w:rsidR="00000000" w:rsidDel="00000000" w:rsidP="00000000" w:rsidRDefault="00000000" w:rsidRPr="00000000" w14:paraId="00000040">
      <w:pPr>
        <w:spacing w:after="240" w:before="240" w:lineRule="auto"/>
        <w:rPr>
          <w:b w:val="1"/>
          <w:bCs w:val="1"/>
        </w:rPr>
      </w:pPr>
      <w:r w:rsidDel="00000000" w:rsidR="00000000" w:rsidRPr="00000000">
        <w:rPr>
          <w:b w:val="1"/>
          <w:bCs w:val="1"/>
          <w:rtl w:val="0"/>
        </w:rPr>
        <w:t xml:space="preserve">PUE = énergie totale du centre / énergie consommée par les équipements IT</w:t>
      </w:r>
    </w:p>
    <w:p w:rsidR="00000000" w:rsidDel="00000000" w:rsidP="00000000" w:rsidRDefault="00000000" w:rsidRPr="00000000" w14:paraId="00000041">
      <w:pPr>
        <w:spacing w:after="240" w:before="240" w:lineRule="auto"/>
        <w:rPr/>
      </w:pPr>
      <w:r w:rsidDel="00000000" w:rsidR="00000000" w:rsidRPr="00000000">
        <w:rPr>
          <w:rtl w:val="0"/>
        </w:rPr>
        <w:t xml:space="preserve">Un PUE de </w:t>
      </w:r>
      <w:r w:rsidDel="00000000" w:rsidR="00000000" w:rsidRPr="00000000">
        <w:rPr>
          <w:b w:val="1"/>
          <w:bCs w:val="1"/>
          <w:rtl w:val="0"/>
        </w:rPr>
        <w:t xml:space="preserve">1,00</w:t>
      </w:r>
      <w:r w:rsidDel="00000000" w:rsidR="00000000" w:rsidRPr="00000000">
        <w:rPr>
          <w:rtl w:val="0"/>
        </w:rPr>
        <w:t xml:space="preserve"> voudrait dire que toute l’énergie va directement aux serveurs. En pratique :</w:t>
      </w:r>
    </w:p>
    <w:tbl>
      <w:tblPr>
        <w:tblStyle w:val="Table5"/>
        <w:tblW w:w="33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90"/>
        <w:gridCol w:w="2180"/>
        <w:tblGridChange w:id="0">
          <w:tblGrid>
            <w:gridCol w:w="1190"/>
            <w:gridCol w:w="218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2">
            <w:pPr>
              <w:jc w:val="center"/>
              <w:rPr/>
            </w:pPr>
            <w:r w:rsidDel="00000000" w:rsidR="00000000" w:rsidRPr="00000000">
              <w:rPr>
                <w:b w:val="1"/>
                <w:bCs w:val="1"/>
                <w:rtl w:val="0"/>
              </w:rPr>
              <w:t xml:space="preserve">PUE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3">
            <w:pPr>
              <w:jc w:val="center"/>
              <w:rPr/>
            </w:pPr>
            <w:r w:rsidDel="00000000" w:rsidR="00000000" w:rsidRPr="00000000">
              <w:rPr>
                <w:b w:val="1"/>
                <w:bCs w:val="1"/>
                <w:rtl w:val="0"/>
              </w:rPr>
              <w:t xml:space="preserve">Lecture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4">
            <w:pPr>
              <w:rPr/>
            </w:pPr>
            <w:r w:rsidDel="00000000" w:rsidR="00000000" w:rsidRPr="00000000">
              <w:rPr>
                <w:rtl w:val="0"/>
              </w:rPr>
              <w:t xml:space="preserve">1,10–1,25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5">
            <w:pPr>
              <w:rPr/>
            </w:pPr>
            <w:r w:rsidDel="00000000" w:rsidR="00000000" w:rsidRPr="00000000">
              <w:rPr>
                <w:rtl w:val="0"/>
              </w:rPr>
              <w:t xml:space="preserve">Très efficace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6">
            <w:pPr>
              <w:rPr/>
            </w:pPr>
            <w:r w:rsidDel="00000000" w:rsidR="00000000" w:rsidRPr="00000000">
              <w:rPr>
                <w:rtl w:val="0"/>
              </w:rPr>
              <w:t xml:space="preserve">1,25–1,40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7">
            <w:pPr>
              <w:rPr/>
            </w:pPr>
            <w:r w:rsidDel="00000000" w:rsidR="00000000" w:rsidRPr="00000000">
              <w:rPr>
                <w:rtl w:val="0"/>
              </w:rPr>
              <w:t xml:space="preserve">Bon centre moderne</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8">
            <w:pPr>
              <w:rPr/>
            </w:pPr>
            <w:r w:rsidDel="00000000" w:rsidR="00000000" w:rsidRPr="00000000">
              <w:rPr>
                <w:rtl w:val="0"/>
              </w:rPr>
              <w:t xml:space="preserve">1,40–1,70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9">
            <w:pPr>
              <w:rPr/>
            </w:pPr>
            <w:r w:rsidDel="00000000" w:rsidR="00000000" w:rsidRPr="00000000">
              <w:rPr>
                <w:rtl w:val="0"/>
              </w:rPr>
              <w:t xml:space="preserve">Moyen / ancien</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A">
            <w:pPr>
              <w:rPr/>
            </w:pPr>
            <w:r w:rsidDel="00000000" w:rsidR="00000000" w:rsidRPr="00000000">
              <w:rPr>
                <w:rtl w:val="0"/>
              </w:rPr>
              <w:t xml:space="preserve">&gt;1,70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B">
            <w:pPr>
              <w:rPr/>
            </w:pPr>
            <w:r w:rsidDel="00000000" w:rsidR="00000000" w:rsidRPr="00000000">
              <w:rPr>
                <w:rtl w:val="0"/>
              </w:rPr>
              <w:t xml:space="preserve">Inefficace</w:t>
            </w:r>
          </w:p>
        </w:tc>
      </w:tr>
    </w:tbl>
    <w:p w:rsidR="00000000" w:rsidDel="00000000" w:rsidP="00000000" w:rsidRDefault="00000000" w:rsidRPr="00000000" w14:paraId="0000004C">
      <w:pPr>
        <w:spacing w:after="240" w:before="240" w:lineRule="auto"/>
        <w:rPr/>
      </w:pPr>
      <w:r w:rsidDel="00000000" w:rsidR="00000000" w:rsidRPr="00000000">
        <w:rPr>
          <w:rtl w:val="0"/>
        </w:rPr>
        <w:t xml:space="preserve">L’Uptime Institute rapportait un PUE moyen mondial d’environ </w:t>
      </w:r>
      <w:r w:rsidDel="00000000" w:rsidR="00000000" w:rsidRPr="00000000">
        <w:rPr>
          <w:b w:val="1"/>
          <w:bCs w:val="1"/>
          <w:rtl w:val="0"/>
        </w:rPr>
        <w:t xml:space="preserve">1,56</w:t>
      </w:r>
      <w:r w:rsidDel="00000000" w:rsidR="00000000" w:rsidRPr="00000000">
        <w:rPr>
          <w:rtl w:val="0"/>
        </w:rPr>
        <w:t xml:space="preserve"> en 2024, tandis que beaucoup de constructions récentes atteignent environ </w:t>
      </w:r>
      <w:r w:rsidDel="00000000" w:rsidR="00000000" w:rsidRPr="00000000">
        <w:rPr>
          <w:b w:val="1"/>
          <w:bCs w:val="1"/>
          <w:rtl w:val="0"/>
        </w:rPr>
        <w:t xml:space="preserve">1,30</w:t>
      </w:r>
      <w:r w:rsidDel="00000000" w:rsidR="00000000" w:rsidRPr="00000000">
        <w:rPr>
          <w:rtl w:val="0"/>
        </w:rPr>
        <w:t xml:space="preserve"> ou mieux. (</w:t>
      </w:r>
      <w:hyperlink r:id="rId11">
        <w:r w:rsidDel="00000000" w:rsidR="00000000" w:rsidRPr="00000000">
          <w:rPr>
            <w:color w:val="1155cc"/>
            <w:u w:val="single"/>
            <w:rtl w:val="0"/>
          </w:rPr>
          <w:t xml:space="preserve">upsite.com</w:t>
        </w:r>
      </w:hyperlink>
      <w:r w:rsidDel="00000000" w:rsidR="00000000" w:rsidRPr="00000000">
        <w:rPr>
          <w:rtl w:val="0"/>
        </w:rPr>
        <w:t xml:space="preserve">)</w:t>
      </w:r>
    </w:p>
    <w:p w:rsidR="00000000" w:rsidDel="00000000" w:rsidP="00000000" w:rsidRDefault="00000000" w:rsidRPr="00000000" w14:paraId="0000004D">
      <w:pPr>
        <w:spacing w:after="240" w:before="240" w:lineRule="auto"/>
        <w:rPr/>
      </w:pPr>
      <w:r w:rsidDel="00000000" w:rsidR="00000000" w:rsidRPr="00000000">
        <w:rPr>
          <w:rtl w:val="0"/>
        </w:rPr>
        <w:t xml:space="preserve">Au Canada, le climat froid aide à réduire les coûts de refroidissement, car il permet plus souvent le </w:t>
      </w:r>
      <w:r w:rsidDel="00000000" w:rsidR="00000000" w:rsidRPr="00000000">
        <w:rPr>
          <w:b w:val="1"/>
          <w:bCs w:val="1"/>
          <w:rtl w:val="0"/>
        </w:rPr>
        <w:t xml:space="preserve">free cooling</w:t>
      </w:r>
      <w:r w:rsidDel="00000000" w:rsidR="00000000" w:rsidRPr="00000000">
        <w:rPr>
          <w:rtl w:val="0"/>
        </w:rPr>
        <w:t xml:space="preserve"> ou l’utilisation de l’air extérieur. Le Régie de l’énergie du Canada note que le Canada attire les centres de données grâce à ses prix d’électricité relativement bas dans certaines provinces, son électricité propre et son climat frais. (</w:t>
      </w:r>
      <w:hyperlink r:id="rId12">
        <w:r w:rsidDel="00000000" w:rsidR="00000000" w:rsidRPr="00000000">
          <w:rPr>
            <w:color w:val="1155cc"/>
            <w:u w:val="single"/>
            <w:rtl w:val="0"/>
          </w:rPr>
          <w:t xml:space="preserve">Canada Energy Regulator</w:t>
        </w:r>
      </w:hyperlink>
      <w:r w:rsidDel="00000000" w:rsidR="00000000" w:rsidRPr="00000000">
        <w:rPr>
          <w:rtl w:val="0"/>
        </w:rPr>
        <w:t xml:space="preserve">)</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2"/>
        <w:keepNext w:val="0"/>
        <w:keepLines w:val="0"/>
        <w:rPr>
          <w:rFonts w:ascii="Baskervville Medium" w:cs="Baskervville Medium" w:eastAsia="Baskervville Medium" w:hAnsi="Baskervville Medium"/>
          <w:sz w:val="34"/>
          <w:szCs w:val="34"/>
        </w:rPr>
      </w:pPr>
      <w:bookmarkStart w:colFirst="0" w:colLast="0" w:name="_1jbai12ho2hw" w:id="7"/>
      <w:bookmarkEnd w:id="7"/>
      <w:r w:rsidDel="00000000" w:rsidR="00000000" w:rsidRPr="00000000">
        <w:rPr>
          <w:rFonts w:ascii="Baskervville Medium" w:cs="Baskervville Medium" w:eastAsia="Baskervville Medium" w:hAnsi="Baskervville Medium"/>
          <w:sz w:val="34"/>
          <w:szCs w:val="34"/>
          <w:rtl w:val="0"/>
        </w:rPr>
        <w:t xml:space="preserve">5. Détail de la portion refroidissement</w:t>
      </w:r>
    </w:p>
    <w:p w:rsidR="00000000" w:rsidDel="00000000" w:rsidP="00000000" w:rsidRDefault="00000000" w:rsidRPr="00000000" w14:paraId="00000050">
      <w:pPr>
        <w:spacing w:after="240" w:before="240" w:lineRule="auto"/>
        <w:rPr/>
      </w:pPr>
      <w:r w:rsidDel="00000000" w:rsidR="00000000" w:rsidRPr="00000000">
        <w:rPr>
          <w:rtl w:val="0"/>
        </w:rPr>
        <w:t xml:space="preserve">Le refroidissement doit être séparé en trois coûts :</w:t>
      </w:r>
    </w:p>
    <w:tbl>
      <w:tblPr>
        <w:tblStyle w:val="Table6"/>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895.36"/>
        <w:gridCol w:w="4497.792"/>
        <w:gridCol w:w="1966.848"/>
        <w:tblGridChange w:id="0">
          <w:tblGrid>
            <w:gridCol w:w="2895.36"/>
            <w:gridCol w:w="4497.792"/>
            <w:gridCol w:w="1966.848"/>
          </w:tblGrid>
        </w:tblGridChange>
      </w:tblGrid>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1">
            <w:pPr>
              <w:jc w:val="center"/>
              <w:rPr/>
            </w:pPr>
            <w:r w:rsidDel="00000000" w:rsidR="00000000" w:rsidRPr="00000000">
              <w:rPr>
                <w:b w:val="1"/>
                <w:bCs w:val="1"/>
                <w:rtl w:val="0"/>
              </w:rPr>
              <w:t xml:space="preserve">Type de coût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2">
            <w:pPr>
              <w:jc w:val="center"/>
              <w:rPr/>
            </w:pPr>
            <w:r w:rsidDel="00000000" w:rsidR="00000000" w:rsidRPr="00000000">
              <w:rPr>
                <w:b w:val="1"/>
                <w:bCs w:val="1"/>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3">
            <w:pPr>
              <w:jc w:val="center"/>
              <w:rPr/>
            </w:pPr>
            <w:r w:rsidDel="00000000" w:rsidR="00000000" w:rsidRPr="00000000">
              <w:rPr>
                <w:b w:val="1"/>
                <w:bCs w:val="1"/>
                <w:rtl w:val="0"/>
              </w:rPr>
              <w:t xml:space="preserve">Part typique du coût total</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4">
            <w:pPr>
              <w:rPr/>
            </w:pPr>
            <w:r w:rsidDel="00000000" w:rsidR="00000000" w:rsidRPr="00000000">
              <w:rPr>
                <w:rtl w:val="0"/>
              </w:rPr>
              <w:t xml:space="preserve">CAPEX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5">
            <w:pPr>
              <w:rPr/>
            </w:pPr>
            <w:r w:rsidDel="00000000" w:rsidR="00000000" w:rsidRPr="00000000">
              <w:rPr>
                <w:rtl w:val="0"/>
              </w:rPr>
              <w:t xml:space="preserve">chillers, CRAH/CRAC, pompes, tuyauterie, tours, échangeurs, contrôle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6">
            <w:pPr>
              <w:rPr/>
            </w:pPr>
            <w:r w:rsidDel="00000000" w:rsidR="00000000" w:rsidRPr="00000000">
              <w:rPr>
                <w:b w:val="1"/>
                <w:bCs w:val="1"/>
                <w:rtl w:val="0"/>
              </w:rPr>
              <w:t xml:space="preserve">4–8 %</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7">
            <w:pPr>
              <w:rPr/>
            </w:pPr>
            <w:r w:rsidDel="00000000" w:rsidR="00000000" w:rsidRPr="00000000">
              <w:rPr>
                <w:rtl w:val="0"/>
              </w:rPr>
              <w:t xml:space="preserve">Électricité du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8">
            <w:pPr>
              <w:rPr/>
            </w:pPr>
            <w:r w:rsidDel="00000000" w:rsidR="00000000" w:rsidRPr="00000000">
              <w:rPr>
                <w:rtl w:val="0"/>
              </w:rPr>
              <w:t xml:space="preserve">énergie pour évacuer la chaleur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9">
            <w:pPr>
              <w:rPr/>
            </w:pPr>
            <w:r w:rsidDel="00000000" w:rsidR="00000000" w:rsidRPr="00000000">
              <w:rPr>
                <w:b w:val="1"/>
                <w:bCs w:val="1"/>
                <w:rtl w:val="0"/>
              </w:rPr>
              <w:t xml:space="preserve">3–8 %</w:t>
            </w:r>
            <w:r w:rsidDel="00000000" w:rsidR="00000000" w:rsidRPr="00000000">
              <w:rPr>
                <w:rtl w:val="0"/>
              </w:rPr>
            </w:r>
          </w:p>
        </w:tc>
      </w:tr>
      <w:tr>
        <w:trPr>
          <w:cantSplit w:val="0"/>
          <w:trHeight w:val="8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A">
            <w:pPr>
              <w:rPr/>
            </w:pPr>
            <w:r w:rsidDel="00000000" w:rsidR="00000000" w:rsidRPr="00000000">
              <w:rPr>
                <w:rtl w:val="0"/>
              </w:rPr>
              <w:t xml:space="preserve">Maintenance / eau / filtres / traitement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B">
            <w:pPr>
              <w:rPr/>
            </w:pPr>
            <w:r w:rsidDel="00000000" w:rsidR="00000000" w:rsidRPr="00000000">
              <w:rPr>
                <w:rtl w:val="0"/>
              </w:rPr>
              <w:t xml:space="preserve">entretien, consommables, surveillance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C">
            <w:pPr>
              <w:rPr/>
            </w:pPr>
            <w:r w:rsidDel="00000000" w:rsidR="00000000" w:rsidRPr="00000000">
              <w:rPr>
                <w:b w:val="1"/>
                <w:bCs w:val="1"/>
                <w:rtl w:val="0"/>
              </w:rPr>
              <w:t xml:space="preserve">1–3 %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D">
            <w:pPr>
              <w:rPr/>
            </w:pPr>
            <w:r w:rsidDel="00000000" w:rsidR="00000000" w:rsidRPr="00000000">
              <w:rPr>
                <w:b w:val="1"/>
                <w:bCs w:val="1"/>
                <w:rtl w:val="0"/>
              </w:rPr>
              <w:t xml:space="preserve">Total refroidissement</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E">
            <w:pPr>
              <w:rPr/>
            </w:pPr>
            <w:r w:rsidDel="00000000" w:rsidR="00000000" w:rsidRPr="00000000">
              <w:rPr>
                <w:rtl w:val="0"/>
              </w:rPr>
              <w:t xml:space="preserve">capital + énergie + maintenance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F">
            <w:pPr>
              <w:rPr/>
            </w:pPr>
            <w:r w:rsidDel="00000000" w:rsidR="00000000" w:rsidRPr="00000000">
              <w:rPr>
                <w:b w:val="1"/>
                <w:bCs w:val="1"/>
                <w:rtl w:val="0"/>
              </w:rPr>
              <w:t xml:space="preserve">8–15 %</w:t>
            </w:r>
            <w:r w:rsidDel="00000000" w:rsidR="00000000" w:rsidRPr="00000000">
              <w:rPr>
                <w:rtl w:val="0"/>
              </w:rPr>
            </w:r>
          </w:p>
        </w:tc>
      </w:tr>
    </w:tbl>
    <w:p w:rsidR="00000000" w:rsidDel="00000000" w:rsidP="00000000" w:rsidRDefault="00000000" w:rsidRPr="00000000" w14:paraId="00000060">
      <w:pPr>
        <w:spacing w:after="240" w:before="240" w:lineRule="auto"/>
        <w:rPr/>
      </w:pPr>
      <w:r w:rsidDel="00000000" w:rsidR="00000000" w:rsidRPr="00000000">
        <w:rPr>
          <w:rtl w:val="0"/>
        </w:rPr>
        <w:t xml:space="preserve">Pour les centres IA à forte densité, surtout avec refroidissement liquide, la portion peut monter à :</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10–20 % du coût total</w:t>
      </w:r>
      <w:r w:rsidDel="00000000" w:rsidR="00000000" w:rsidRPr="00000000">
        <w:rPr>
          <w:rtl w:val="0"/>
        </w:rPr>
        <w:t xml:space="preserve">, selon la densité, la redondance et la technologie choisie.</w:t>
      </w:r>
    </w:p>
    <w:p w:rsidR="00000000" w:rsidDel="00000000" w:rsidP="00000000" w:rsidRDefault="00000000" w:rsidRPr="00000000" w14:paraId="00000062">
      <w:pPr>
        <w:spacing w:after="240" w:before="240" w:lineRule="auto"/>
        <w:rPr/>
      </w:pPr>
      <w:r w:rsidDel="00000000" w:rsidR="00000000" w:rsidRPr="00000000">
        <w:rPr>
          <w:rtl w:val="0"/>
        </w:rPr>
        <w:t xml:space="preserve">Turner &amp; Townsend estime que, dans la construction d’un centre de données, la partie mécanique incluant les équipements représente environ </w:t>
      </w:r>
      <w:r w:rsidDel="00000000" w:rsidR="00000000" w:rsidRPr="00000000">
        <w:rPr>
          <w:b w:val="1"/>
          <w:bCs w:val="1"/>
          <w:rtl w:val="0"/>
        </w:rPr>
        <w:t xml:space="preserve">22 %</w:t>
      </w:r>
      <w:r w:rsidDel="00000000" w:rsidR="00000000" w:rsidRPr="00000000">
        <w:rPr>
          <w:rtl w:val="0"/>
        </w:rPr>
        <w:t xml:space="preserve"> pour un centre air-cooled et </w:t>
      </w:r>
      <w:r w:rsidDel="00000000" w:rsidR="00000000" w:rsidRPr="00000000">
        <w:rPr>
          <w:b w:val="1"/>
          <w:bCs w:val="1"/>
          <w:rtl w:val="0"/>
        </w:rPr>
        <w:t xml:space="preserve">33 %</w:t>
      </w:r>
      <w:r w:rsidDel="00000000" w:rsidR="00000000" w:rsidRPr="00000000">
        <w:rPr>
          <w:rtl w:val="0"/>
        </w:rPr>
        <w:t xml:space="preserve"> pour un centre liquid-cooled; les centres liquid-cooled coûtent aussi en moyenne </w:t>
      </w:r>
      <w:r w:rsidDel="00000000" w:rsidR="00000000" w:rsidRPr="00000000">
        <w:rPr>
          <w:b w:val="1"/>
          <w:bCs w:val="1"/>
          <w:rtl w:val="0"/>
        </w:rPr>
        <w:t xml:space="preserve">7–10 %</w:t>
      </w:r>
      <w:r w:rsidDel="00000000" w:rsidR="00000000" w:rsidRPr="00000000">
        <w:rPr>
          <w:rtl w:val="0"/>
        </w:rPr>
        <w:t xml:space="preserve"> de plus que des centres air-cooled comparables en capacité IT. (</w:t>
      </w:r>
      <w:hyperlink r:id="rId13">
        <w:r w:rsidDel="00000000" w:rsidR="00000000" w:rsidRPr="00000000">
          <w:rPr>
            <w:color w:val="1155cc"/>
            <w:u w:val="single"/>
            <w:rtl w:val="0"/>
          </w:rPr>
          <w:t xml:space="preserve">reports.turnerandtownsend.com</w:t>
        </w:r>
      </w:hyperlink>
      <w:r w:rsidDel="00000000" w:rsidR="00000000" w:rsidRPr="00000000">
        <w:rPr>
          <w:rtl w:val="0"/>
        </w:rPr>
        <w:t xml:space="preserve">)</w:t>
      </w:r>
    </w:p>
    <w:p w:rsidR="00000000" w:rsidDel="00000000" w:rsidP="00000000" w:rsidRDefault="00000000" w:rsidRPr="00000000" w14:paraId="0000006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4">
      <w:pPr>
        <w:pStyle w:val="Heading2"/>
        <w:keepNext w:val="0"/>
        <w:keepLines w:val="0"/>
        <w:rPr>
          <w:rFonts w:ascii="Baskervville Medium" w:cs="Baskervville Medium" w:eastAsia="Baskervville Medium" w:hAnsi="Baskervville Medium"/>
          <w:sz w:val="34"/>
          <w:szCs w:val="34"/>
        </w:rPr>
      </w:pPr>
      <w:bookmarkStart w:colFirst="0" w:colLast="0" w:name="_t12lnss4rmxf" w:id="8"/>
      <w:bookmarkEnd w:id="8"/>
      <w:r w:rsidDel="00000000" w:rsidR="00000000" w:rsidRPr="00000000">
        <w:rPr>
          <w:rFonts w:ascii="Baskervville Medium" w:cs="Baskervville Medium" w:eastAsia="Baskervville Medium" w:hAnsi="Baskervville Medium"/>
          <w:sz w:val="34"/>
          <w:szCs w:val="34"/>
          <w:rtl w:val="0"/>
        </w:rPr>
        <w:t xml:space="preserve">6. Exemple chiffré : centre de données de 1 MW IT au Québec</w:t>
      </w:r>
    </w:p>
    <w:p w:rsidR="00000000" w:rsidDel="00000000" w:rsidP="00000000" w:rsidRDefault="00000000" w:rsidRPr="00000000" w14:paraId="00000065">
      <w:pPr>
        <w:spacing w:after="240" w:before="240" w:lineRule="auto"/>
        <w:rPr/>
      </w:pPr>
      <w:r w:rsidDel="00000000" w:rsidR="00000000" w:rsidRPr="00000000">
        <w:rPr>
          <w:rtl w:val="0"/>
        </w:rPr>
        <w:t xml:space="preserve">Hypothèses :</w:t>
      </w:r>
    </w:p>
    <w:tbl>
      <w:tblPr>
        <w:tblStyle w:val="Table7"/>
        <w:tblW w:w="35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5"/>
        <w:gridCol w:w="1625"/>
        <w:tblGridChange w:id="0">
          <w:tblGrid>
            <w:gridCol w:w="1895"/>
            <w:gridCol w:w="162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6">
            <w:pPr>
              <w:jc w:val="center"/>
              <w:rPr/>
            </w:pPr>
            <w:r w:rsidDel="00000000" w:rsidR="00000000" w:rsidRPr="00000000">
              <w:rPr>
                <w:b w:val="1"/>
                <w:bCs w:val="1"/>
                <w:rtl w:val="0"/>
              </w:rPr>
              <w:t xml:space="preserve">Hypothèse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7">
            <w:pPr>
              <w:jc w:val="center"/>
              <w:rPr/>
            </w:pPr>
            <w:r w:rsidDel="00000000" w:rsidR="00000000" w:rsidRPr="00000000">
              <w:rPr>
                <w:b w:val="1"/>
                <w:bCs w:val="1"/>
                <w:rtl w:val="0"/>
              </w:rPr>
              <w:t xml:space="preserve">Valeur</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8">
            <w:pPr>
              <w:rPr/>
            </w:pPr>
            <w:r w:rsidDel="00000000" w:rsidR="00000000" w:rsidRPr="00000000">
              <w:rPr>
                <w:rtl w:val="0"/>
              </w:rPr>
              <w:t xml:space="preserve">Charge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9">
            <w:pPr>
              <w:rPr/>
            </w:pPr>
            <w:r w:rsidDel="00000000" w:rsidR="00000000" w:rsidRPr="00000000">
              <w:rPr>
                <w:rtl w:val="0"/>
              </w:rPr>
              <w:t xml:space="preserve">1 MW continu</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A">
            <w:pPr>
              <w:rPr/>
            </w:pPr>
            <w:r w:rsidDel="00000000" w:rsidR="00000000" w:rsidRPr="00000000">
              <w:rPr>
                <w:rtl w:val="0"/>
              </w:rPr>
              <w:t xml:space="preserve">PUE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B">
            <w:pPr>
              <w:rPr/>
            </w:pPr>
            <w:r w:rsidDel="00000000" w:rsidR="00000000" w:rsidRPr="00000000">
              <w:rPr>
                <w:rtl w:val="0"/>
              </w:rPr>
              <w:t xml:space="preserve">1,30</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C">
            <w:pPr>
              <w:rPr/>
            </w:pPr>
            <w:r w:rsidDel="00000000" w:rsidR="00000000" w:rsidRPr="00000000">
              <w:rPr>
                <w:rtl w:val="0"/>
              </w:rPr>
              <w:t xml:space="preserve">Tarif 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D">
            <w:pPr>
              <w:rPr/>
            </w:pPr>
            <w:r w:rsidDel="00000000" w:rsidR="00000000" w:rsidRPr="00000000">
              <w:rPr>
                <w:rtl w:val="0"/>
              </w:rPr>
              <w:t xml:space="preserve">0,13 $/kWh</w:t>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E">
            <w:pPr>
              <w:rPr/>
            </w:pPr>
            <w:r w:rsidDel="00000000" w:rsidR="00000000" w:rsidRPr="00000000">
              <w:rPr>
                <w:rtl w:val="0"/>
              </w:rPr>
              <w:t xml:space="preserve">Heures par année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6F">
            <w:pPr>
              <w:rPr/>
            </w:pPr>
            <w:r w:rsidDel="00000000" w:rsidR="00000000" w:rsidRPr="00000000">
              <w:rPr>
                <w:rtl w:val="0"/>
              </w:rPr>
              <w:t xml:space="preserve">8 760</w:t>
            </w:r>
          </w:p>
        </w:tc>
      </w:tr>
    </w:tbl>
    <w:p w:rsidR="00000000" w:rsidDel="00000000" w:rsidP="00000000" w:rsidRDefault="00000000" w:rsidRPr="00000000" w14:paraId="00000070">
      <w:pPr>
        <w:pStyle w:val="Heading3"/>
        <w:keepNext w:val="0"/>
        <w:keepLines w:val="0"/>
        <w:rPr>
          <w:rFonts w:ascii="Baskervville Medium" w:cs="Baskervville Medium" w:eastAsia="Baskervville Medium" w:hAnsi="Baskervville Medium"/>
          <w:sz w:val="26"/>
          <w:szCs w:val="26"/>
        </w:rPr>
      </w:pPr>
      <w:bookmarkStart w:colFirst="0" w:colLast="0" w:name="_i6s8rbxx8hk2" w:id="9"/>
      <w:bookmarkEnd w:id="9"/>
      <w:r w:rsidDel="00000000" w:rsidR="00000000" w:rsidRPr="00000000">
        <w:rPr>
          <w:rFonts w:ascii="Baskervville Medium" w:cs="Baskervville Medium" w:eastAsia="Baskervville Medium" w:hAnsi="Baskervville Medium"/>
          <w:sz w:val="26"/>
          <w:szCs w:val="26"/>
          <w:rtl w:val="0"/>
        </w:rPr>
        <w:t xml:space="preserve">Calcul</w:t>
      </w:r>
    </w:p>
    <w:p w:rsidR="00000000" w:rsidDel="00000000" w:rsidP="00000000" w:rsidRDefault="00000000" w:rsidRPr="00000000" w14:paraId="00000071">
      <w:pPr>
        <w:spacing w:after="240" w:before="240" w:lineRule="auto"/>
        <w:rPr/>
      </w:pPr>
      <w:r w:rsidDel="00000000" w:rsidR="00000000" w:rsidRPr="00000000">
        <w:rPr>
          <w:rtl w:val="0"/>
        </w:rPr>
        <w:t xml:space="preserve">Énergie IT annuelle :</w:t>
      </w:r>
    </w:p>
    <w:p w:rsidR="00000000" w:rsidDel="00000000" w:rsidP="00000000" w:rsidRDefault="00000000" w:rsidRPr="00000000" w14:paraId="00000072">
      <w:pPr>
        <w:spacing w:after="240" w:before="240" w:lineRule="auto"/>
        <w:rPr>
          <w:b w:val="1"/>
          <w:bCs w:val="1"/>
        </w:rPr>
      </w:pPr>
      <w:r w:rsidDel="00000000" w:rsidR="00000000" w:rsidRPr="00000000">
        <w:rPr>
          <w:b w:val="1"/>
          <w:bCs w:val="1"/>
          <w:rtl w:val="0"/>
        </w:rPr>
        <w:t xml:space="preserve">1 MW × 8 760 h = 8,76 GWh</w:t>
      </w:r>
    </w:p>
    <w:p w:rsidR="00000000" w:rsidDel="00000000" w:rsidP="00000000" w:rsidRDefault="00000000" w:rsidRPr="00000000" w14:paraId="00000073">
      <w:pPr>
        <w:spacing w:after="240" w:before="240" w:lineRule="auto"/>
        <w:rPr/>
      </w:pPr>
      <w:r w:rsidDel="00000000" w:rsidR="00000000" w:rsidRPr="00000000">
        <w:rPr>
          <w:rtl w:val="0"/>
        </w:rPr>
        <w:t xml:space="preserve">Énergie totale avec PUE 1,30 :</w:t>
      </w:r>
    </w:p>
    <w:p w:rsidR="00000000" w:rsidDel="00000000" w:rsidP="00000000" w:rsidRDefault="00000000" w:rsidRPr="00000000" w14:paraId="00000074">
      <w:pPr>
        <w:spacing w:after="240" w:before="240" w:lineRule="auto"/>
        <w:rPr>
          <w:b w:val="1"/>
          <w:bCs w:val="1"/>
        </w:rPr>
      </w:pPr>
      <w:r w:rsidDel="00000000" w:rsidR="00000000" w:rsidRPr="00000000">
        <w:rPr>
          <w:b w:val="1"/>
          <w:bCs w:val="1"/>
          <w:rtl w:val="0"/>
        </w:rPr>
        <w:t xml:space="preserve">8,76 GWh × 1,30 = 11,388 GWh</w:t>
      </w:r>
    </w:p>
    <w:p w:rsidR="00000000" w:rsidDel="00000000" w:rsidP="00000000" w:rsidRDefault="00000000" w:rsidRPr="00000000" w14:paraId="00000075">
      <w:pPr>
        <w:spacing w:after="240" w:before="240" w:lineRule="auto"/>
        <w:rPr/>
      </w:pPr>
      <w:r w:rsidDel="00000000" w:rsidR="00000000" w:rsidRPr="00000000">
        <w:rPr>
          <w:rtl w:val="0"/>
        </w:rPr>
        <w:t xml:space="preserve">Coût électrique annuel :</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11 388 000 kWh × 0,13 $ = 1,48 M$ / an</w:t>
      </w:r>
    </w:p>
    <w:p w:rsidR="00000000" w:rsidDel="00000000" w:rsidP="00000000" w:rsidRDefault="00000000" w:rsidRPr="00000000" w14:paraId="00000077">
      <w:pPr>
        <w:spacing w:after="240" w:before="240" w:lineRule="auto"/>
        <w:rPr/>
      </w:pPr>
      <w:r w:rsidDel="00000000" w:rsidR="00000000" w:rsidRPr="00000000">
        <w:rPr>
          <w:rtl w:val="0"/>
        </w:rPr>
        <w:t xml:space="preserve">Surplus non-IT :</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11,388 GWh − 8,76 GWh = 2,628 GWh</w:t>
      </w:r>
    </w:p>
    <w:p w:rsidR="00000000" w:rsidDel="00000000" w:rsidP="00000000" w:rsidRDefault="00000000" w:rsidRPr="00000000" w14:paraId="00000079">
      <w:pPr>
        <w:spacing w:after="240" w:before="240" w:lineRule="auto"/>
        <w:rPr/>
      </w:pPr>
      <w:r w:rsidDel="00000000" w:rsidR="00000000" w:rsidRPr="00000000">
        <w:rPr>
          <w:rtl w:val="0"/>
        </w:rPr>
        <w:t xml:space="preserve">Si le refroidissement représente environ </w:t>
      </w:r>
      <w:r w:rsidDel="00000000" w:rsidR="00000000" w:rsidRPr="00000000">
        <w:rPr>
          <w:b w:val="1"/>
          <w:bCs w:val="1"/>
          <w:rtl w:val="0"/>
        </w:rPr>
        <w:t xml:space="preserve">60–80 %</w:t>
      </w:r>
      <w:r w:rsidDel="00000000" w:rsidR="00000000" w:rsidRPr="00000000">
        <w:rPr>
          <w:rtl w:val="0"/>
        </w:rPr>
        <w:t xml:space="preserve"> de ce surplus, alors :</w:t>
      </w:r>
    </w:p>
    <w:tbl>
      <w:tblPr>
        <w:tblStyle w:val="Table8"/>
        <w:tblW w:w="54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55"/>
        <w:gridCol w:w="2030"/>
        <w:tblGridChange w:id="0">
          <w:tblGrid>
            <w:gridCol w:w="3455"/>
            <w:gridCol w:w="203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A">
            <w:pPr>
              <w:jc w:val="center"/>
              <w:rPr/>
            </w:pPr>
            <w:r w:rsidDel="00000000" w:rsidR="00000000" w:rsidRPr="00000000">
              <w:rPr>
                <w:b w:val="1"/>
                <w:bCs w:val="1"/>
                <w:rtl w:val="0"/>
              </w:rPr>
              <w:t xml:space="preserve">Poste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B">
            <w:pPr>
              <w:jc w:val="center"/>
              <w:rPr/>
            </w:pPr>
            <w:r w:rsidDel="00000000" w:rsidR="00000000" w:rsidRPr="00000000">
              <w:rPr>
                <w:b w:val="1"/>
                <w:bCs w:val="1"/>
                <w:rtl w:val="0"/>
              </w:rPr>
              <w:t xml:space="preserve">Estimation</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C">
            <w:pPr>
              <w:rPr/>
            </w:pPr>
            <w:r w:rsidDel="00000000" w:rsidR="00000000" w:rsidRPr="00000000">
              <w:rPr>
                <w:rtl w:val="0"/>
              </w:rPr>
              <w:t xml:space="preserve">Électricité totale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D">
            <w:pPr>
              <w:rPr/>
            </w:pPr>
            <w:r w:rsidDel="00000000" w:rsidR="00000000" w:rsidRPr="00000000">
              <w:rPr>
                <w:b w:val="1"/>
                <w:bCs w:val="1"/>
                <w:rtl w:val="0"/>
              </w:rPr>
              <w:t xml:space="preserve">1,48 M$ / an</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E">
            <w:pPr>
              <w:rPr/>
            </w:pPr>
            <w:r w:rsidDel="00000000" w:rsidR="00000000" w:rsidRPr="00000000">
              <w:rPr>
                <w:rtl w:val="0"/>
              </w:rPr>
              <w:t xml:space="preserve">Électricité directement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7F">
            <w:pPr>
              <w:rPr/>
            </w:pPr>
            <w:r w:rsidDel="00000000" w:rsidR="00000000" w:rsidRPr="00000000">
              <w:rPr>
                <w:b w:val="1"/>
                <w:bCs w:val="1"/>
                <w:rtl w:val="0"/>
              </w:rPr>
              <w:t xml:space="preserve">1,14 M$ / an</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0">
            <w:pPr>
              <w:rPr/>
            </w:pPr>
            <w:r w:rsidDel="00000000" w:rsidR="00000000" w:rsidRPr="00000000">
              <w:rPr>
                <w:rtl w:val="0"/>
              </w:rPr>
              <w:t xml:space="preserve">Électricité non-IT totale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1">
            <w:pPr>
              <w:rPr/>
            </w:pPr>
            <w:r w:rsidDel="00000000" w:rsidR="00000000" w:rsidRPr="00000000">
              <w:rPr>
                <w:b w:val="1"/>
                <w:bCs w:val="1"/>
                <w:rtl w:val="0"/>
              </w:rPr>
              <w:t xml:space="preserve">0,34 M$ / an</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2">
            <w:pPr>
              <w:rPr/>
            </w:pPr>
            <w:r w:rsidDel="00000000" w:rsidR="00000000" w:rsidRPr="00000000">
              <w:rPr>
                <w:rtl w:val="0"/>
              </w:rPr>
              <w:t xml:space="preserve">Électricité liée au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3">
            <w:pPr>
              <w:rPr/>
            </w:pPr>
            <w:r w:rsidDel="00000000" w:rsidR="00000000" w:rsidRPr="00000000">
              <w:rPr>
                <w:b w:val="1"/>
                <w:bCs w:val="1"/>
                <w:rtl w:val="0"/>
              </w:rPr>
              <w:t xml:space="preserve">0,20–0,27 M$ / an</w:t>
            </w:r>
            <w:r w:rsidDel="00000000" w:rsidR="00000000" w:rsidRPr="00000000">
              <w:rPr>
                <w:rtl w:val="0"/>
              </w:rPr>
            </w:r>
          </w:p>
        </w:tc>
      </w:tr>
    </w:tbl>
    <w:p w:rsidR="00000000" w:rsidDel="00000000" w:rsidP="00000000" w:rsidRDefault="00000000" w:rsidRPr="00000000" w14:paraId="00000084">
      <w:pPr>
        <w:spacing w:after="240" w:before="240" w:lineRule="auto"/>
        <w:rPr/>
      </w:pPr>
      <w:r w:rsidDel="00000000" w:rsidR="00000000" w:rsidRPr="00000000">
        <w:rPr>
          <w:rtl w:val="0"/>
        </w:rPr>
        <w:t xml:space="preserve">Donc, dans cet exemple, le </w:t>
      </w:r>
      <w:r w:rsidDel="00000000" w:rsidR="00000000" w:rsidRPr="00000000">
        <w:rPr>
          <w:b w:val="1"/>
          <w:bCs w:val="1"/>
          <w:rtl w:val="0"/>
        </w:rPr>
        <w:t xml:space="preserve">refroidissement électrique seul</w:t>
      </w:r>
      <w:r w:rsidDel="00000000" w:rsidR="00000000" w:rsidRPr="00000000">
        <w:rPr>
          <w:rtl w:val="0"/>
        </w:rPr>
        <w:t xml:space="preserve"> coûte environ :</w:t>
      </w:r>
    </w:p>
    <w:p w:rsidR="00000000" w:rsidDel="00000000" w:rsidP="00000000" w:rsidRDefault="00000000" w:rsidRPr="00000000" w14:paraId="00000085">
      <w:pPr>
        <w:spacing w:after="240" w:before="240" w:lineRule="auto"/>
        <w:rPr>
          <w:b w:val="1"/>
          <w:bCs w:val="1"/>
        </w:rPr>
      </w:pPr>
      <w:r w:rsidDel="00000000" w:rsidR="00000000" w:rsidRPr="00000000">
        <w:rPr>
          <w:b w:val="1"/>
          <w:bCs w:val="1"/>
          <w:rtl w:val="0"/>
        </w:rPr>
        <w:t xml:space="preserve">200 000 à 270 000 $ par MW IT par an</w:t>
      </w:r>
    </w:p>
    <w:p w:rsidR="00000000" w:rsidDel="00000000" w:rsidP="00000000" w:rsidRDefault="00000000" w:rsidRPr="00000000" w14:paraId="00000086">
      <w:pPr>
        <w:spacing w:after="240" w:before="240" w:lineRule="auto"/>
        <w:rPr/>
      </w:pPr>
      <w:r w:rsidDel="00000000" w:rsidR="00000000" w:rsidRPr="00000000">
        <w:rPr>
          <w:rtl w:val="0"/>
        </w:rPr>
        <w:t xml:space="preserve">Mais le </w:t>
      </w:r>
      <w:r w:rsidDel="00000000" w:rsidR="00000000" w:rsidRPr="00000000">
        <w:rPr>
          <w:b w:val="1"/>
          <w:bCs w:val="1"/>
          <w:rtl w:val="0"/>
        </w:rPr>
        <w:t xml:space="preserve">refroidissement complet</w:t>
      </w:r>
      <w:r w:rsidDel="00000000" w:rsidR="00000000" w:rsidRPr="00000000">
        <w:rPr>
          <w:rtl w:val="0"/>
        </w:rPr>
        <w:t xml:space="preserve">, incluant équipements amortis et maintenance, serait plutôt autour de :</w:t>
      </w:r>
    </w:p>
    <w:p w:rsidR="00000000" w:rsidDel="00000000" w:rsidP="00000000" w:rsidRDefault="00000000" w:rsidRPr="00000000" w14:paraId="00000087">
      <w:pPr>
        <w:spacing w:after="240" w:before="240" w:lineRule="auto"/>
        <w:rPr/>
      </w:pPr>
      <w:r w:rsidDel="00000000" w:rsidR="00000000" w:rsidRPr="00000000">
        <w:rPr>
          <w:b w:val="1"/>
          <w:bCs w:val="1"/>
          <w:rtl w:val="0"/>
        </w:rPr>
        <w:t xml:space="preserve">0,5 à 1,2 M$ par MW IT par an</w:t>
      </w:r>
      <w:r w:rsidDel="00000000" w:rsidR="00000000" w:rsidRPr="00000000">
        <w:rPr>
          <w:rtl w:val="0"/>
        </w:rPr>
        <w:t xml:space="preserve">, selon le type de système, la redondance et la densité des racks.</w:t>
      </w:r>
    </w:p>
    <w:p w:rsidR="00000000" w:rsidDel="00000000" w:rsidP="00000000" w:rsidRDefault="00000000" w:rsidRPr="00000000" w14:paraId="0000008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9">
      <w:pPr>
        <w:pStyle w:val="Heading2"/>
        <w:keepNext w:val="0"/>
        <w:keepLines w:val="0"/>
        <w:rPr>
          <w:rFonts w:ascii="Baskervville Medium" w:cs="Baskervville Medium" w:eastAsia="Baskervville Medium" w:hAnsi="Baskervville Medium"/>
          <w:sz w:val="34"/>
          <w:szCs w:val="34"/>
        </w:rPr>
      </w:pPr>
      <w:bookmarkStart w:colFirst="0" w:colLast="0" w:name="_elo6y6frpily" w:id="10"/>
      <w:bookmarkEnd w:id="10"/>
      <w:r w:rsidDel="00000000" w:rsidR="00000000" w:rsidRPr="00000000">
        <w:rPr>
          <w:rFonts w:ascii="Baskervville Medium" w:cs="Baskervville Medium" w:eastAsia="Baskervville Medium" w:hAnsi="Baskervville Medium"/>
          <w:sz w:val="34"/>
          <w:szCs w:val="34"/>
          <w:rtl w:val="0"/>
        </w:rPr>
        <w:t xml:space="preserve">7. Ventilation recommandée pour un modèle financier</w:t>
      </w:r>
    </w:p>
    <w:p w:rsidR="00000000" w:rsidDel="00000000" w:rsidP="00000000" w:rsidRDefault="00000000" w:rsidRPr="00000000" w14:paraId="0000008A">
      <w:pPr>
        <w:spacing w:after="240" w:before="240" w:lineRule="auto"/>
        <w:rPr/>
      </w:pPr>
      <w:r w:rsidDel="00000000" w:rsidR="00000000" w:rsidRPr="00000000">
        <w:rPr>
          <w:rtl w:val="0"/>
        </w:rPr>
        <w:t xml:space="preserve">Pour un centre de données canadien moderne, hors coût logiciel et hors personnel administratif :</w:t>
      </w:r>
    </w:p>
    <w:tbl>
      <w:tblPr>
        <w:tblStyle w:val="Table9"/>
        <w:tblW w:w="57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10"/>
        <w:gridCol w:w="2345"/>
        <w:tblGridChange w:id="0">
          <w:tblGrid>
            <w:gridCol w:w="3410"/>
            <w:gridCol w:w="2345"/>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B">
            <w:pPr>
              <w:jc w:val="center"/>
              <w:rPr/>
            </w:pPr>
            <w:r w:rsidDel="00000000" w:rsidR="00000000" w:rsidRPr="00000000">
              <w:rPr>
                <w:b w:val="1"/>
                <w:bCs w:val="1"/>
                <w:rtl w:val="0"/>
              </w:rPr>
              <w:t xml:space="preserve">Poste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C">
            <w:pPr>
              <w:jc w:val="center"/>
              <w:rPr/>
            </w:pPr>
            <w:r w:rsidDel="00000000" w:rsidR="00000000" w:rsidRPr="00000000">
              <w:rPr>
                <w:b w:val="1"/>
                <w:bCs w:val="1"/>
                <w:rtl w:val="0"/>
              </w:rPr>
              <w:t xml:space="preserve">Fourchette prudente</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D">
            <w:pPr>
              <w:rPr/>
            </w:pPr>
            <w:r w:rsidDel="00000000" w:rsidR="00000000" w:rsidRPr="00000000">
              <w:rPr>
                <w:rtl w:val="0"/>
              </w:rPr>
              <w:t xml:space="preserve">Serveurs / GPU / stockage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E">
            <w:pPr>
              <w:rPr/>
            </w:pPr>
            <w:r w:rsidDel="00000000" w:rsidR="00000000" w:rsidRPr="00000000">
              <w:rPr>
                <w:b w:val="1"/>
                <w:bCs w:val="1"/>
                <w:rtl w:val="0"/>
              </w:rPr>
              <w:t xml:space="preserve">50–65 %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8F">
            <w:pPr>
              <w:rPr/>
            </w:pPr>
            <w:r w:rsidDel="00000000" w:rsidR="00000000" w:rsidRPr="00000000">
              <w:rPr>
                <w:rtl w:val="0"/>
              </w:rPr>
              <w:t xml:space="preserve">Réseau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0">
            <w:pPr>
              <w:rPr/>
            </w:pPr>
            <w:r w:rsidDel="00000000" w:rsidR="00000000" w:rsidRPr="00000000">
              <w:rPr>
                <w:b w:val="1"/>
                <w:bCs w:val="1"/>
                <w:rtl w:val="0"/>
              </w:rPr>
              <w:t xml:space="preserve">5–10 %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1">
            <w:pPr>
              <w:rPr/>
            </w:pPr>
            <w:r w:rsidDel="00000000" w:rsidR="00000000" w:rsidRPr="00000000">
              <w:rPr>
                <w:rtl w:val="0"/>
              </w:rPr>
              <w:t xml:space="preserve">Infrastructure électrique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2">
            <w:pPr>
              <w:rPr/>
            </w:pPr>
            <w:r w:rsidDel="00000000" w:rsidR="00000000" w:rsidRPr="00000000">
              <w:rPr>
                <w:b w:val="1"/>
                <w:bCs w:val="1"/>
                <w:rtl w:val="0"/>
              </w:rPr>
              <w:t xml:space="preserve">10–18 %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3">
            <w:pPr>
              <w:rPr/>
            </w:pPr>
            <w:r w:rsidDel="00000000" w:rsidR="00000000" w:rsidRPr="00000000">
              <w:rPr>
                <w:rtl w:val="0"/>
              </w:rPr>
              <w:t xml:space="preserve">Infrastructure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4">
            <w:pPr>
              <w:rPr/>
            </w:pPr>
            <w:r w:rsidDel="00000000" w:rsidR="00000000" w:rsidRPr="00000000">
              <w:rPr>
                <w:b w:val="1"/>
                <w:bCs w:val="1"/>
                <w:rtl w:val="0"/>
              </w:rPr>
              <w:t xml:space="preserve">4–8 %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5">
            <w:pPr>
              <w:rPr/>
            </w:pPr>
            <w:r w:rsidDel="00000000" w:rsidR="00000000" w:rsidRPr="00000000">
              <w:rPr>
                <w:rtl w:val="0"/>
              </w:rPr>
              <w:t xml:space="preserve">Bâtiment, terrain, sécurité, autres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6">
            <w:pPr>
              <w:rPr/>
            </w:pPr>
            <w:r w:rsidDel="00000000" w:rsidR="00000000" w:rsidRPr="00000000">
              <w:rPr>
                <w:b w:val="1"/>
                <w:bCs w:val="1"/>
                <w:rtl w:val="0"/>
              </w:rPr>
              <w:t xml:space="preserve">5–10 %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7">
            <w:pPr>
              <w:rPr/>
            </w:pPr>
            <w:r w:rsidDel="00000000" w:rsidR="00000000" w:rsidRPr="00000000">
              <w:rPr>
                <w:rtl w:val="0"/>
              </w:rPr>
              <w:t xml:space="preserve">Électricité 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8">
            <w:pPr>
              <w:rPr/>
            </w:pPr>
            <w:r w:rsidDel="00000000" w:rsidR="00000000" w:rsidRPr="00000000">
              <w:rPr>
                <w:b w:val="1"/>
                <w:bCs w:val="1"/>
                <w:rtl w:val="0"/>
              </w:rPr>
              <w:t xml:space="preserve">8–18 %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9">
            <w:pPr>
              <w:rPr/>
            </w:pPr>
            <w:r w:rsidDel="00000000" w:rsidR="00000000" w:rsidRPr="00000000">
              <w:rPr>
                <w:rtl w:val="0"/>
              </w:rPr>
              <w:t xml:space="preserve">Électricité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A">
            <w:pPr>
              <w:rPr/>
            </w:pPr>
            <w:r w:rsidDel="00000000" w:rsidR="00000000" w:rsidRPr="00000000">
              <w:rPr>
                <w:b w:val="1"/>
                <w:bCs w:val="1"/>
                <w:rtl w:val="0"/>
              </w:rPr>
              <w:t xml:space="preserve">3–8 %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B">
            <w:pPr>
              <w:rPr/>
            </w:pPr>
            <w:r w:rsidDel="00000000" w:rsidR="00000000" w:rsidRPr="00000000">
              <w:rPr>
                <w:rtl w:val="0"/>
              </w:rPr>
              <w:t xml:space="preserve">Maintenance refroidissement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C">
            <w:pPr>
              <w:rPr/>
            </w:pPr>
            <w:r w:rsidDel="00000000" w:rsidR="00000000" w:rsidRPr="00000000">
              <w:rPr>
                <w:b w:val="1"/>
                <w:bCs w:val="1"/>
                <w:rtl w:val="0"/>
              </w:rPr>
              <w:t xml:space="preserve">1–3 %</w:t>
            </w:r>
            <w:r w:rsidDel="00000000" w:rsidR="00000000" w:rsidRPr="00000000">
              <w:rPr>
                <w:rtl w:val="0"/>
              </w:rPr>
            </w:r>
          </w:p>
        </w:tc>
      </w:tr>
    </w:tbl>
    <w:p w:rsidR="00000000" w:rsidDel="00000000" w:rsidP="00000000" w:rsidRDefault="00000000" w:rsidRPr="00000000" w14:paraId="0000009D">
      <w:pPr>
        <w:spacing w:after="240" w:before="240" w:lineRule="auto"/>
        <w:rPr/>
      </w:pPr>
      <w:r w:rsidDel="00000000" w:rsidR="00000000" w:rsidRPr="00000000">
        <w:rPr>
          <w:rtl w:val="0"/>
        </w:rPr>
        <w:t xml:space="preserve">Version simplifiée :</w:t>
      </w:r>
    </w:p>
    <w:tbl>
      <w:tblPr>
        <w:tblStyle w:val="Table10"/>
        <w:tblW w:w="71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035"/>
        <w:gridCol w:w="1130"/>
        <w:tblGridChange w:id="0">
          <w:tblGrid>
            <w:gridCol w:w="6035"/>
            <w:gridCol w:w="1130"/>
          </w:tblGrid>
        </w:tblGridChange>
      </w:tblGrid>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E">
            <w:pPr>
              <w:jc w:val="center"/>
              <w:rPr/>
            </w:pPr>
            <w:r w:rsidDel="00000000" w:rsidR="00000000" w:rsidRPr="00000000">
              <w:rPr>
                <w:b w:val="1"/>
                <w:bCs w:val="1"/>
                <w:rtl w:val="0"/>
              </w:rPr>
              <w:t xml:space="preserve">Grande catégorie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9F">
            <w:pPr>
              <w:jc w:val="center"/>
              <w:rPr/>
            </w:pPr>
            <w:r w:rsidDel="00000000" w:rsidR="00000000" w:rsidRPr="00000000">
              <w:rPr>
                <w:b w:val="1"/>
                <w:bCs w:val="1"/>
                <w:rtl w:val="0"/>
              </w:rPr>
              <w:t xml:space="preserve">Part</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rPr/>
            </w:pPr>
            <w:r w:rsidDel="00000000" w:rsidR="00000000" w:rsidRPr="00000000">
              <w:rPr>
                <w:rtl w:val="0"/>
              </w:rPr>
              <w:t xml:space="preserve">IT : serveurs, GPU, réseau, stockage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rPr/>
            </w:pPr>
            <w:r w:rsidDel="00000000" w:rsidR="00000000" w:rsidRPr="00000000">
              <w:rPr>
                <w:b w:val="1"/>
                <w:bCs w:val="1"/>
                <w:rtl w:val="0"/>
              </w:rPr>
              <w:t xml:space="preserve">55–70 %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rPr/>
            </w:pPr>
            <w:r w:rsidDel="00000000" w:rsidR="00000000" w:rsidRPr="00000000">
              <w:rPr>
                <w:rtl w:val="0"/>
              </w:rPr>
              <w:t xml:space="preserve">Infrastructure physique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rPr/>
            </w:pPr>
            <w:r w:rsidDel="00000000" w:rsidR="00000000" w:rsidRPr="00000000">
              <w:rPr>
                <w:b w:val="1"/>
                <w:bCs w:val="1"/>
                <w:rtl w:val="0"/>
              </w:rPr>
              <w:t xml:space="preserve">15–25 %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rPr/>
            </w:pPr>
            <w:r w:rsidDel="00000000" w:rsidR="00000000" w:rsidRPr="00000000">
              <w:rPr>
                <w:rtl w:val="0"/>
              </w:rPr>
              <w:t xml:space="preserve">Électricité totale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rPr/>
            </w:pPr>
            <w:r w:rsidDel="00000000" w:rsidR="00000000" w:rsidRPr="00000000">
              <w:rPr>
                <w:b w:val="1"/>
                <w:bCs w:val="1"/>
                <w:rtl w:val="0"/>
              </w:rPr>
              <w:t xml:space="preserve">10–25 %</w:t>
            </w:r>
            <w:r w:rsidDel="00000000" w:rsidR="00000000" w:rsidRPr="00000000">
              <w:rPr>
                <w:rtl w:val="0"/>
              </w:rPr>
            </w:r>
          </w:p>
        </w:tc>
      </w:tr>
      <w:tr>
        <w:trPr>
          <w:cantSplit w:val="0"/>
          <w:trHeight w:val="53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rPr/>
            </w:pPr>
            <w:r w:rsidDel="00000000" w:rsidR="00000000" w:rsidRPr="00000000">
              <w:rPr>
                <w:rtl w:val="0"/>
              </w:rPr>
              <w:t xml:space="preserve">Refroidissement total, inclus dans infrastructure + électricité</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rPr/>
            </w:pPr>
            <w:r w:rsidDel="00000000" w:rsidR="00000000" w:rsidRPr="00000000">
              <w:rPr>
                <w:b w:val="1"/>
                <w:bCs w:val="1"/>
                <w:rtl w:val="0"/>
              </w:rPr>
              <w:t xml:space="preserve">8–15 %</w:t>
            </w:r>
            <w:r w:rsidDel="00000000" w:rsidR="00000000" w:rsidRPr="00000000">
              <w:rPr>
                <w:rtl w:val="0"/>
              </w:rPr>
            </w:r>
          </w:p>
        </w:tc>
      </w:tr>
    </w:tbl>
    <w:p w:rsidR="00000000" w:rsidDel="00000000" w:rsidP="00000000" w:rsidRDefault="00000000" w:rsidRPr="00000000" w14:paraId="000000A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9">
      <w:pPr>
        <w:pStyle w:val="Heading2"/>
        <w:keepNext w:val="0"/>
        <w:keepLines w:val="0"/>
        <w:rPr>
          <w:rFonts w:ascii="Baskervville Medium" w:cs="Baskervville Medium" w:eastAsia="Baskervville Medium" w:hAnsi="Baskervville Medium"/>
          <w:sz w:val="34"/>
          <w:szCs w:val="34"/>
        </w:rPr>
      </w:pPr>
      <w:bookmarkStart w:colFirst="0" w:colLast="0" w:name="_dup7q2xi208w" w:id="11"/>
      <w:bookmarkEnd w:id="11"/>
      <w:r w:rsidDel="00000000" w:rsidR="00000000" w:rsidRPr="00000000">
        <w:rPr>
          <w:rFonts w:ascii="Baskervville Medium" w:cs="Baskervville Medium" w:eastAsia="Baskervville Medium" w:hAnsi="Baskervville Medium"/>
          <w:sz w:val="34"/>
          <w:szCs w:val="34"/>
          <w:rtl w:val="0"/>
        </w:rPr>
        <w:t xml:space="preserve">8. Conclusion</w:t>
      </w:r>
    </w:p>
    <w:p w:rsidR="00000000" w:rsidDel="00000000" w:rsidP="00000000" w:rsidRDefault="00000000" w:rsidRPr="00000000" w14:paraId="000000AA">
      <w:pPr>
        <w:spacing w:after="240" w:before="240" w:lineRule="auto"/>
        <w:rPr/>
      </w:pPr>
      <w:r w:rsidDel="00000000" w:rsidR="00000000" w:rsidRPr="00000000">
        <w:rPr>
          <w:rtl w:val="0"/>
        </w:rPr>
        <w:t xml:space="preserve">Pour une ferme de serveurs au Canada, la meilleure estimation générale est :</w:t>
      </w:r>
    </w:p>
    <w:p w:rsidR="00000000" w:rsidDel="00000000" w:rsidP="00000000" w:rsidRDefault="00000000" w:rsidRPr="00000000" w14:paraId="000000AB">
      <w:pPr>
        <w:spacing w:after="240" w:before="240" w:lineRule="auto"/>
        <w:rPr>
          <w:b w:val="1"/>
          <w:bCs w:val="1"/>
        </w:rPr>
      </w:pPr>
      <w:r w:rsidDel="00000000" w:rsidR="00000000" w:rsidRPr="00000000">
        <w:rPr>
          <w:b w:val="1"/>
          <w:bCs w:val="1"/>
          <w:rtl w:val="0"/>
        </w:rPr>
        <w:t xml:space="preserve">Infrastructure + serveurs : 75–85 %</w:t>
        <w:br w:type="textWrapping"/>
        <w:t xml:space="preserve">Électricité : 15–25 %</w:t>
        <w:br w:type="textWrapping"/>
        <w:t xml:space="preserve">Refroidissement total : 8–15 % du coût total</w:t>
      </w:r>
    </w:p>
    <w:p w:rsidR="00000000" w:rsidDel="00000000" w:rsidP="00000000" w:rsidRDefault="00000000" w:rsidRPr="00000000" w14:paraId="000000AC">
      <w:pPr>
        <w:spacing w:after="240" w:before="240" w:lineRule="auto"/>
        <w:rPr/>
      </w:pPr>
      <w:r w:rsidDel="00000000" w:rsidR="00000000" w:rsidRPr="00000000">
        <w:rPr>
          <w:rtl w:val="0"/>
        </w:rPr>
        <w:t xml:space="preserve">Le refroidissement est souvent perçu comme énorme parce qu’il représente une grande partie de la </w:t>
      </w:r>
      <w:r w:rsidDel="00000000" w:rsidR="00000000" w:rsidRPr="00000000">
        <w:rPr>
          <w:b w:val="1"/>
          <w:bCs w:val="1"/>
          <w:rtl w:val="0"/>
        </w:rPr>
        <w:t xml:space="preserve">construction mécanique</w:t>
      </w:r>
      <w:r w:rsidDel="00000000" w:rsidR="00000000" w:rsidRPr="00000000">
        <w:rPr>
          <w:rtl w:val="0"/>
        </w:rPr>
        <w:t xml:space="preserve"> et de l’</w:t>
      </w:r>
      <w:r w:rsidDel="00000000" w:rsidR="00000000" w:rsidRPr="00000000">
        <w:rPr>
          <w:b w:val="1"/>
          <w:bCs w:val="1"/>
          <w:rtl w:val="0"/>
        </w:rPr>
        <w:t xml:space="preserve">énergie non-IT</w:t>
      </w:r>
      <w:r w:rsidDel="00000000" w:rsidR="00000000" w:rsidRPr="00000000">
        <w:rPr>
          <w:rtl w:val="0"/>
        </w:rPr>
        <w:t xml:space="preserve">. Mais dans le coût total annualisé, les serveurs, GPU et équipements IT restent habituellement le poste dominant. Dans un centre moderne au Canada avec un bon PUE, le refroidissement électrique seul peut être aussi bas que </w:t>
      </w:r>
      <w:r w:rsidDel="00000000" w:rsidR="00000000" w:rsidRPr="00000000">
        <w:rPr>
          <w:b w:val="1"/>
          <w:bCs w:val="1"/>
          <w:rtl w:val="0"/>
        </w:rPr>
        <w:t xml:space="preserve">3–8 % du coût total</w:t>
      </w:r>
      <w:r w:rsidDel="00000000" w:rsidR="00000000" w:rsidRPr="00000000">
        <w:rPr>
          <w:rtl w:val="0"/>
        </w:rPr>
        <w:t xml:space="preserve">, mais le refroidissement complet, avec équipements et maintenance, se situe plutôt autour de </w:t>
      </w:r>
      <w:r w:rsidDel="00000000" w:rsidR="00000000" w:rsidRPr="00000000">
        <w:rPr>
          <w:b w:val="1"/>
          <w:bCs w:val="1"/>
          <w:rtl w:val="0"/>
        </w:rPr>
        <w:t xml:space="preserve">8–15 %</w:t>
      </w:r>
      <w:r w:rsidDel="00000000" w:rsidR="00000000" w:rsidRPr="00000000">
        <w:rPr>
          <w:rtl w:val="0"/>
        </w:rPr>
        <w:t xml:space="preserve">.</w:t>
      </w:r>
    </w:p>
    <w:p w:rsidR="00000000" w:rsidDel="00000000" w:rsidP="00000000" w:rsidRDefault="00000000" w:rsidRPr="00000000" w14:paraId="000000AD">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Inter">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Baskervville Medium">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Inter Medium">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skervville Medium" w:cs="Baskervville Medium" w:eastAsia="Baskervville Medium" w:hAnsi="Baskervville Medium"/>
        <w:color w:val="1f1f1f"/>
        <w:sz w:val="24"/>
        <w:szCs w:val="24"/>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color w:val="1e6864"/>
      <w:sz w:val="32"/>
      <w:szCs w:val="32"/>
    </w:rPr>
  </w:style>
  <w:style w:type="paragraph" w:styleId="Heading2">
    <w:name w:val="heading 2"/>
    <w:basedOn w:val="Normal"/>
    <w:next w:val="Normal"/>
    <w:pPr>
      <w:keepNext w:val="1"/>
      <w:keepLines w:val="1"/>
      <w:pageBreakBefore w:val="0"/>
      <w:spacing w:after="80" w:before="360" w:lineRule="auto"/>
    </w:pPr>
    <w:rPr>
      <w:rFonts w:ascii="Inter Medium" w:cs="Inter Medium" w:eastAsia="Inter Medium" w:hAnsi="Inter Medium"/>
      <w:b w:val="1"/>
      <w:bCs w:val="1"/>
      <w:color w:val="1f1f1f"/>
      <w:sz w:val="28"/>
      <w:szCs w:val="28"/>
    </w:rPr>
  </w:style>
  <w:style w:type="paragraph" w:styleId="Heading3">
    <w:name w:val="heading 3"/>
    <w:basedOn w:val="Normal"/>
    <w:next w:val="Normal"/>
    <w:pPr>
      <w:keepNext w:val="1"/>
      <w:keepLines w:val="1"/>
      <w:pageBreakBefore w:val="0"/>
      <w:spacing w:after="80" w:before="280" w:lineRule="auto"/>
    </w:pPr>
    <w:rPr>
      <w:rFonts w:ascii="Inter Medium" w:cs="Inter Medium" w:eastAsia="Inter Medium" w:hAnsi="Inter Medium"/>
      <w:b w:val="1"/>
      <w:bCs w:val="1"/>
      <w:color w:val="1f1f1f"/>
      <w:sz w:val="24"/>
      <w:szCs w:val="24"/>
    </w:rPr>
  </w:style>
  <w:style w:type="paragraph" w:styleId="Heading4">
    <w:name w:val="heading 4"/>
    <w:basedOn w:val="Normal"/>
    <w:next w:val="Normal"/>
    <w:pPr>
      <w:keepNext w:val="1"/>
      <w:keepLines w:val="1"/>
      <w:pageBreakBefore w:val="0"/>
      <w:spacing w:after="40" w:before="240" w:lineRule="auto"/>
    </w:pPr>
    <w:rPr>
      <w:rFonts w:ascii="Inter Medium" w:cs="Inter Medium" w:eastAsia="Inter Medium" w:hAnsi="Inter Medium"/>
      <w:b w:val="1"/>
      <w:bCs w:val="1"/>
      <w:color w:val="1f1f1f"/>
      <w:sz w:val="22"/>
      <w:szCs w:val="22"/>
    </w:rPr>
  </w:style>
  <w:style w:type="paragraph" w:styleId="Heading5">
    <w:name w:val="heading 5"/>
    <w:basedOn w:val="Normal"/>
    <w:next w:val="Normal"/>
    <w:pPr>
      <w:keepNext w:val="1"/>
      <w:keepLines w:val="1"/>
      <w:pageBreakBefore w:val="0"/>
      <w:spacing w:after="40" w:before="220" w:lineRule="auto"/>
    </w:pPr>
    <w:rPr>
      <w:rFonts w:ascii="Inter Medium" w:cs="Inter Medium" w:eastAsia="Inter Medium" w:hAnsi="Inter Medium"/>
      <w:b w:val="1"/>
      <w:bCs w:val="1"/>
      <w:i w:val="1"/>
      <w:iCs w:val="1"/>
      <w:color w:val="1f1f1f"/>
      <w:sz w:val="22"/>
      <w:szCs w:val="22"/>
    </w:rPr>
  </w:style>
  <w:style w:type="paragraph" w:styleId="Heading6">
    <w:name w:val="heading 6"/>
    <w:basedOn w:val="Normal"/>
    <w:next w:val="Normal"/>
    <w:pPr>
      <w:keepNext w:val="1"/>
      <w:keepLines w:val="1"/>
      <w:pageBreakBefore w:val="0"/>
      <w:spacing w:after="40" w:before="200" w:lineRule="auto"/>
    </w:pPr>
    <w:rPr>
      <w:rFonts w:ascii="Inter" w:cs="Inter" w:eastAsia="Inter" w:hAnsi="Inter"/>
      <w:b w:val="1"/>
      <w:bCs w:val="1"/>
      <w:i w:val="1"/>
      <w:iCs w:val="1"/>
      <w:color w:val="1f1f1f"/>
      <w:sz w:val="22"/>
      <w:szCs w:val="22"/>
    </w:rPr>
  </w:style>
  <w:style w:type="paragraph" w:styleId="Title">
    <w:name w:val="Title"/>
    <w:basedOn w:val="Normal"/>
    <w:next w:val="Normal"/>
    <w:pPr>
      <w:keepNext w:val="1"/>
      <w:keepLines w:val="1"/>
      <w:spacing w:after="120" w:before="480" w:lineRule="auto"/>
    </w:pPr>
    <w:rPr>
      <w:color w:val="1e6864"/>
      <w:sz w:val="48"/>
      <w:szCs w:val="48"/>
    </w:rPr>
  </w:style>
  <w:style w:type="paragraph" w:styleId="Subtitle">
    <w:name w:val="Subtitle"/>
    <w:basedOn w:val="Normal"/>
    <w:next w:val="Normal"/>
    <w:pPr>
      <w:keepNext w:val="1"/>
      <w:keepLines w:val="1"/>
      <w:pageBreakBefore w:val="0"/>
      <w:spacing w:after="80" w:before="360" w:lineRule="auto"/>
    </w:pPr>
    <w:rPr>
      <w:rFonts w:ascii="Inter" w:cs="Inter" w:eastAsia="Inter" w:hAnsi="Inter"/>
      <w:i w:val="1"/>
      <w:iCs w:val="1"/>
      <w:color w:val="1f1f1f"/>
      <w:sz w:val="28"/>
      <w:szCs w:val="2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upsite.com/blog/why-pue-remains-flat-and-what-should-be-done-about-it/" TargetMode="External"/><Relationship Id="rId10" Type="http://schemas.openxmlformats.org/officeDocument/2006/relationships/hyperlink" Target="https://www.datacenterknowledge.com/business/using-a-total-cost-of-ownership-tco-model-for-your-data-center" TargetMode="External"/><Relationship Id="rId13" Type="http://schemas.openxmlformats.org/officeDocument/2006/relationships/hyperlink" Target="https://reports.turnerandtownsend.com/data-centre-construction-cost-index-2025/data-centre-cost-trends" TargetMode="External"/><Relationship Id="rId12" Type="http://schemas.openxmlformats.org/officeDocument/2006/relationships/hyperlink" Target="https://www.cer-rec.gc.ca/en/data-analysis/energy-markets/market-snapshots/2024/market-snapshot-energy-demand-from-data-centers-is-steadily-increasing-and-ai-development-is-a-significant-factor.htm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natural-resources.canada.ca/energy-efficiency/energy-star/products/list-certified-products/data-centres?utm_source=chatgpt.com" TargetMode="External"/><Relationship Id="rId5" Type="http://schemas.openxmlformats.org/officeDocument/2006/relationships/styles" Target="styles.xml"/><Relationship Id="rId6" Type="http://schemas.openxmlformats.org/officeDocument/2006/relationships/hyperlink" Target="https://news.hydroquebec.com/news/press-releases/all-quebec/hydro-quebec-proposing-regie-energie-new-rate-large-data-centres-adjustment-rate-cryptographic-use-applied-blockchains.html" TargetMode="External"/><Relationship Id="rId7" Type="http://schemas.openxmlformats.org/officeDocument/2006/relationships/hyperlink" Target="https://www.datacenterknowledge.com/servers/hamilton-servers-dominate-data-center-costs" TargetMode="External"/><Relationship Id="rId8" Type="http://schemas.openxmlformats.org/officeDocument/2006/relationships/hyperlink" Target="https://encoradvisors.com/data-center-cos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Inter-regular.ttf"/><Relationship Id="rId2" Type="http://schemas.openxmlformats.org/officeDocument/2006/relationships/font" Target="fonts/Inter-bold.ttf"/><Relationship Id="rId3" Type="http://schemas.openxmlformats.org/officeDocument/2006/relationships/font" Target="fonts/Inter-italic.ttf"/><Relationship Id="rId4" Type="http://schemas.openxmlformats.org/officeDocument/2006/relationships/font" Target="fonts/Inter-boldItalic.ttf"/><Relationship Id="rId11" Type="http://schemas.openxmlformats.org/officeDocument/2006/relationships/font" Target="fonts/InterMedium-italic.ttf"/><Relationship Id="rId10" Type="http://schemas.openxmlformats.org/officeDocument/2006/relationships/font" Target="fonts/InterMedium-bold.ttf"/><Relationship Id="rId12" Type="http://schemas.openxmlformats.org/officeDocument/2006/relationships/font" Target="fonts/InterMedium-boldItalic.ttf"/><Relationship Id="rId9" Type="http://schemas.openxmlformats.org/officeDocument/2006/relationships/font" Target="fonts/InterMedium-regular.ttf"/><Relationship Id="rId5" Type="http://schemas.openxmlformats.org/officeDocument/2006/relationships/font" Target="fonts/BaskervvilleMedium-regular.ttf"/><Relationship Id="rId6" Type="http://schemas.openxmlformats.org/officeDocument/2006/relationships/font" Target="fonts/BaskervvilleMedium-bold.ttf"/><Relationship Id="rId7" Type="http://schemas.openxmlformats.org/officeDocument/2006/relationships/font" Target="fonts/BaskervvilleMedium-italic.ttf"/><Relationship Id="rId8" Type="http://schemas.openxmlformats.org/officeDocument/2006/relationships/font" Target="fonts/BaskervvilleMedium-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