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c1qb8ut9ckz" w:id="0"/>
      <w:bookmarkEnd w:id="0"/>
      <w:r w:rsidDel="00000000" w:rsidR="00000000" w:rsidRPr="00000000">
        <w:rPr>
          <w:rtl w:val="0"/>
        </w:rPr>
        <w:t xml:space="preserve">Rivières du littoral ouest du Nord québécois au nord de La Grande</w:t>
      </w:r>
    </w:p>
    <w:p w:rsidR="00000000" w:rsidDel="00000000" w:rsidP="00000000" w:rsidRDefault="00000000" w:rsidRPr="00000000" w14:paraId="00000002">
      <w:pPr>
        <w:pStyle w:val="Heading2"/>
        <w:rPr/>
      </w:pPr>
      <w:bookmarkStart w:colFirst="0" w:colLast="0" w:name="_5tf1d82b0b54" w:id="1"/>
      <w:bookmarkEnd w:id="1"/>
      <w:r w:rsidDel="00000000" w:rsidR="00000000" w:rsidRPr="00000000">
        <w:rPr>
          <w:rtl w:val="0"/>
        </w:rPr>
        <w:t xml:space="preserve">Sommaire exécutif</w:t>
      </w:r>
    </w:p>
    <w:p w:rsidR="00000000" w:rsidDel="00000000" w:rsidP="00000000" w:rsidRDefault="00000000" w:rsidRPr="00000000" w14:paraId="00000003">
      <w:pPr>
        <w:rPr/>
      </w:pPr>
      <w:r w:rsidDel="00000000" w:rsidR="00000000" w:rsidRPr="00000000">
        <w:rPr>
          <w:rtl w:val="0"/>
        </w:rPr>
        <w:t xml:space="preserve">Le constat principal est simple : au nord de l’extrémité pratique du réseau principal d’entity["company","Hydro-Québec","quebec utility"] à La Grande, la contrainte dominante n’est plus seulement l’hydrologie, mais la distance électrique, la logistique arctique et l’acceptabilité territoriale. La </w:t>
      </w:r>
      <w:r w:rsidDel="00000000" w:rsidR="00000000" w:rsidRPr="00000000">
        <w:rPr>
          <w:b w:val="1"/>
          <w:bCs w:val="1"/>
          <w:rtl w:val="0"/>
        </w:rPr>
        <w:t xml:space="preserve">Grande rivière de la Baleine</w:t>
      </w:r>
      <w:r w:rsidDel="00000000" w:rsidR="00000000" w:rsidRPr="00000000">
        <w:rPr>
          <w:rtl w:val="0"/>
        </w:rPr>
        <w:t xml:space="preserve"> ressort comme la seule grande rivière du littoral ouest dont la distance au réseau existant reste encore dans un ordre de grandeur qui rappelle un projet d’exportation massif; mais même là, l’historique du complexe Grande-Baleine montre qu’il fallait déjà </w:t>
      </w:r>
      <w:r w:rsidDel="00000000" w:rsidR="00000000" w:rsidRPr="00000000">
        <w:rPr>
          <w:b w:val="1"/>
          <w:bCs w:val="1"/>
          <w:rtl w:val="0"/>
        </w:rPr>
        <w:t xml:space="preserve">près de 575 à 600 km de routes d’accès</w:t>
      </w:r>
      <w:r w:rsidDel="00000000" w:rsidR="00000000" w:rsidRPr="00000000">
        <w:rPr>
          <w:rtl w:val="0"/>
        </w:rPr>
        <w:t xml:space="preserve"> et qu’on parlait d’un complexe de </w:t>
      </w:r>
      <w:r w:rsidDel="00000000" w:rsidR="00000000" w:rsidRPr="00000000">
        <w:rPr>
          <w:b w:val="1"/>
          <w:bCs w:val="1"/>
          <w:rtl w:val="0"/>
        </w:rPr>
        <w:t xml:space="preserve">3 000 à 3 158 MW</w:t>
      </w:r>
      <w:r w:rsidDel="00000000" w:rsidR="00000000" w:rsidRPr="00000000">
        <w:rPr>
          <w:rtl w:val="0"/>
        </w:rPr>
        <w:t xml:space="preserve">, avec des enjeux cris et inuit majeurs. citeturn4search26turn4search27turn4search25turn4search0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Dès qu’on remonte au nord vers </w:t>
      </w:r>
      <w:r w:rsidDel="00000000" w:rsidR="00000000" w:rsidRPr="00000000">
        <w:rPr>
          <w:b w:val="1"/>
          <w:bCs w:val="1"/>
          <w:rtl w:val="0"/>
        </w:rPr>
        <w:t xml:space="preserve">Nastapoka</w:t>
      </w:r>
      <w:r w:rsidDel="00000000" w:rsidR="00000000" w:rsidRPr="00000000">
        <w:rPr>
          <w:rtl w:val="0"/>
        </w:rPr>
        <w:t xml:space="preserve">, </w:t>
      </w:r>
      <w:r w:rsidDel="00000000" w:rsidR="00000000" w:rsidRPr="00000000">
        <w:rPr>
          <w:b w:val="1"/>
          <w:bCs w:val="1"/>
          <w:rtl w:val="0"/>
        </w:rPr>
        <w:t xml:space="preserve">Innuksuac</w:t>
      </w:r>
      <w:r w:rsidDel="00000000" w:rsidR="00000000" w:rsidRPr="00000000">
        <w:rPr>
          <w:rtl w:val="0"/>
        </w:rPr>
        <w:t xml:space="preserve">, </w:t>
      </w:r>
      <w:r w:rsidDel="00000000" w:rsidR="00000000" w:rsidRPr="00000000">
        <w:rPr>
          <w:b w:val="1"/>
          <w:bCs w:val="1"/>
          <w:rtl w:val="0"/>
        </w:rPr>
        <w:t xml:space="preserve">Puvirnituq</w:t>
      </w:r>
      <w:r w:rsidDel="00000000" w:rsidR="00000000" w:rsidRPr="00000000">
        <w:rPr>
          <w:rtl w:val="0"/>
        </w:rPr>
        <w:t xml:space="preserve"> et surtout </w:t>
      </w:r>
      <w:r w:rsidDel="00000000" w:rsidR="00000000" w:rsidRPr="00000000">
        <w:rPr>
          <w:b w:val="1"/>
          <w:bCs w:val="1"/>
          <w:rtl w:val="0"/>
        </w:rPr>
        <w:t xml:space="preserve">Kovik</w:t>
      </w:r>
      <w:r w:rsidDel="00000000" w:rsidR="00000000" w:rsidRPr="00000000">
        <w:rPr>
          <w:rtl w:val="0"/>
        </w:rPr>
        <w:t xml:space="preserve">, les longueurs de ligne deviennent rapidement de l’ordre de </w:t>
      </w:r>
      <w:r w:rsidDel="00000000" w:rsidR="00000000" w:rsidRPr="00000000">
        <w:rPr>
          <w:b w:val="1"/>
          <w:bCs w:val="1"/>
          <w:rtl w:val="0"/>
        </w:rPr>
        <w:t xml:space="preserve">400 à plus de 1 000 km</w:t>
      </w:r>
      <w:r w:rsidDel="00000000" w:rsidR="00000000" w:rsidRPr="00000000">
        <w:rPr>
          <w:rtl w:val="0"/>
        </w:rPr>
        <w:t xml:space="preserve">, ce qui place la seule ligne de transport, avant même toute centrale, dans une fourchette de coût de </w:t>
      </w:r>
      <w:r w:rsidDel="00000000" w:rsidR="00000000" w:rsidRPr="00000000">
        <w:rPr>
          <w:b w:val="1"/>
          <w:bCs w:val="1"/>
          <w:rtl w:val="0"/>
        </w:rPr>
        <w:t xml:space="preserve">plusieurs milliards de dollars</w:t>
      </w:r>
      <w:r w:rsidDel="00000000" w:rsidR="00000000" w:rsidRPr="00000000">
        <w:rPr>
          <w:rtl w:val="0"/>
        </w:rPr>
        <w:t xml:space="preserve"> en scénario de raccordement au réseau principal. En criblage grossier, une ligne HV aérienne en Québec méridional peut coûter de l’ordre de </w:t>
      </w:r>
      <w:r w:rsidDel="00000000" w:rsidR="00000000" w:rsidRPr="00000000">
        <w:rPr>
          <w:b w:val="1"/>
          <w:bCs w:val="1"/>
          <w:rtl w:val="0"/>
        </w:rPr>
        <w:t xml:space="preserve">1,6 M$/km à 230 kV</w:t>
      </w:r>
      <w:r w:rsidDel="00000000" w:rsidR="00000000" w:rsidRPr="00000000">
        <w:rPr>
          <w:rtl w:val="0"/>
        </w:rPr>
        <w:t xml:space="preserve">, </w:t>
      </w:r>
      <w:r w:rsidDel="00000000" w:rsidR="00000000" w:rsidRPr="00000000">
        <w:rPr>
          <w:b w:val="1"/>
          <w:bCs w:val="1"/>
          <w:rtl w:val="0"/>
        </w:rPr>
        <w:t xml:space="preserve">~2,4 M$/km autour de 315–345 kV</w:t>
      </w:r>
      <w:r w:rsidDel="00000000" w:rsidR="00000000" w:rsidRPr="00000000">
        <w:rPr>
          <w:rtl w:val="0"/>
        </w:rPr>
        <w:t xml:space="preserve">, et </w:t>
      </w:r>
      <w:r w:rsidDel="00000000" w:rsidR="00000000" w:rsidRPr="00000000">
        <w:rPr>
          <w:b w:val="1"/>
          <w:bCs w:val="1"/>
          <w:rtl w:val="0"/>
        </w:rPr>
        <w:t xml:space="preserve">~2,4 à 4,9 M$/km à 735 kV</w:t>
      </w:r>
      <w:r w:rsidDel="00000000" w:rsidR="00000000" w:rsidRPr="00000000">
        <w:rPr>
          <w:rtl w:val="0"/>
        </w:rPr>
        <w:t xml:space="preserve"> selon les cas observés; en contexte nordique et arctique, les coûts d’infrastructure peuvent être </w:t>
      </w:r>
      <w:r w:rsidDel="00000000" w:rsidR="00000000" w:rsidRPr="00000000">
        <w:rPr>
          <w:b w:val="1"/>
          <w:bCs w:val="1"/>
          <w:rtl w:val="0"/>
        </w:rPr>
        <w:t xml:space="preserve">multipliés</w:t>
      </w:r>
      <w:r w:rsidDel="00000000" w:rsidR="00000000" w:rsidRPr="00000000">
        <w:rPr>
          <w:rtl w:val="0"/>
        </w:rPr>
        <w:t xml:space="preserve"> par la logistique, le pergélisol, les fenêtres saisonnières et l’absence de ports/routes permanents. citeturn19search36turn14search1turn14search6turn14search7turn20search4turn20search42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Côté hydroélectrique, les données publiques sont </w:t>
      </w:r>
      <w:r w:rsidDel="00000000" w:rsidR="00000000" w:rsidRPr="00000000">
        <w:rPr>
          <w:b w:val="1"/>
          <w:bCs w:val="1"/>
          <w:rtl w:val="0"/>
        </w:rPr>
        <w:t xml:space="preserve">inégales</w:t>
      </w:r>
      <w:r w:rsidDel="00000000" w:rsidR="00000000" w:rsidRPr="00000000">
        <w:rPr>
          <w:rtl w:val="0"/>
        </w:rPr>
        <w:t xml:space="preserve">. Les séries officielles du ministère donnent de bonnes bases pour la </w:t>
      </w:r>
      <w:r w:rsidDel="00000000" w:rsidR="00000000" w:rsidRPr="00000000">
        <w:rPr>
          <w:b w:val="1"/>
          <w:bCs w:val="1"/>
          <w:rtl w:val="0"/>
        </w:rPr>
        <w:t xml:space="preserve">Grande rivière de la Baleine</w:t>
      </w:r>
      <w:r w:rsidDel="00000000" w:rsidR="00000000" w:rsidRPr="00000000">
        <w:rPr>
          <w:rtl w:val="0"/>
        </w:rPr>
        <w:t xml:space="preserve">, </w:t>
      </w:r>
      <w:r w:rsidDel="00000000" w:rsidR="00000000" w:rsidRPr="00000000">
        <w:rPr>
          <w:b w:val="1"/>
          <w:bCs w:val="1"/>
          <w:rtl w:val="0"/>
        </w:rPr>
        <w:t xml:space="preserve">Petite rivière de la Baleine</w:t>
      </w:r>
      <w:r w:rsidDel="00000000" w:rsidR="00000000" w:rsidRPr="00000000">
        <w:rPr>
          <w:rtl w:val="0"/>
        </w:rPr>
        <w:t xml:space="preserve">, </w:t>
      </w:r>
      <w:r w:rsidDel="00000000" w:rsidR="00000000" w:rsidRPr="00000000">
        <w:rPr>
          <w:b w:val="1"/>
          <w:bCs w:val="1"/>
          <w:rtl w:val="0"/>
        </w:rPr>
        <w:t xml:space="preserve">Nastapoka</w:t>
      </w:r>
      <w:r w:rsidDel="00000000" w:rsidR="00000000" w:rsidRPr="00000000">
        <w:rPr>
          <w:rtl w:val="0"/>
        </w:rPr>
        <w:t xml:space="preserve">, </w:t>
      </w:r>
      <w:r w:rsidDel="00000000" w:rsidR="00000000" w:rsidRPr="00000000">
        <w:rPr>
          <w:b w:val="1"/>
          <w:bCs w:val="1"/>
          <w:rtl w:val="0"/>
        </w:rPr>
        <w:t xml:space="preserve">Caniapiscau</w:t>
      </w:r>
      <w:r w:rsidDel="00000000" w:rsidR="00000000" w:rsidRPr="00000000">
        <w:rPr>
          <w:rtl w:val="0"/>
        </w:rPr>
        <w:t xml:space="preserve">, </w:t>
      </w:r>
      <w:r w:rsidDel="00000000" w:rsidR="00000000" w:rsidRPr="00000000">
        <w:rPr>
          <w:b w:val="1"/>
          <w:bCs w:val="1"/>
          <w:rtl w:val="0"/>
        </w:rPr>
        <w:t xml:space="preserve">George</w:t>
      </w:r>
      <w:r w:rsidDel="00000000" w:rsidR="00000000" w:rsidRPr="00000000">
        <w:rPr>
          <w:rtl w:val="0"/>
        </w:rPr>
        <w:t xml:space="preserve">, </w:t>
      </w:r>
      <w:r w:rsidDel="00000000" w:rsidR="00000000" w:rsidRPr="00000000">
        <w:rPr>
          <w:b w:val="1"/>
          <w:bCs w:val="1"/>
          <w:rtl w:val="0"/>
        </w:rPr>
        <w:t xml:space="preserve">Aux Feuilles</w:t>
      </w:r>
      <w:r w:rsidDel="00000000" w:rsidR="00000000" w:rsidRPr="00000000">
        <w:rPr>
          <w:rtl w:val="0"/>
        </w:rPr>
        <w:t xml:space="preserve"> et </w:t>
      </w:r>
      <w:r w:rsidDel="00000000" w:rsidR="00000000" w:rsidRPr="00000000">
        <w:rPr>
          <w:b w:val="1"/>
          <w:bCs w:val="1"/>
          <w:rtl w:val="0"/>
        </w:rPr>
        <w:t xml:space="preserve">Aux Mélèzes</w:t>
      </w:r>
      <w:r w:rsidDel="00000000" w:rsidR="00000000" w:rsidRPr="00000000">
        <w:rPr>
          <w:rtl w:val="0"/>
        </w:rPr>
        <w:t xml:space="preserve">. En revanche, pour </w:t>
      </w:r>
      <w:r w:rsidDel="00000000" w:rsidR="00000000" w:rsidRPr="00000000">
        <w:rPr>
          <w:b w:val="1"/>
          <w:bCs w:val="1"/>
          <w:rtl w:val="0"/>
        </w:rPr>
        <w:t xml:space="preserve">Innuksuac</w:t>
      </w:r>
      <w:r w:rsidDel="00000000" w:rsidR="00000000" w:rsidRPr="00000000">
        <w:rPr>
          <w:rtl w:val="0"/>
        </w:rPr>
        <w:t xml:space="preserve">, </w:t>
      </w:r>
      <w:r w:rsidDel="00000000" w:rsidR="00000000" w:rsidRPr="00000000">
        <w:rPr>
          <w:b w:val="1"/>
          <w:bCs w:val="1"/>
          <w:rtl w:val="0"/>
        </w:rPr>
        <w:t xml:space="preserve">Puvirnituq</w:t>
      </w:r>
      <w:r w:rsidDel="00000000" w:rsidR="00000000" w:rsidRPr="00000000">
        <w:rPr>
          <w:rtl w:val="0"/>
        </w:rPr>
        <w:t xml:space="preserve"> et </w:t>
      </w:r>
      <w:r w:rsidDel="00000000" w:rsidR="00000000" w:rsidRPr="00000000">
        <w:rPr>
          <w:b w:val="1"/>
          <w:bCs w:val="1"/>
          <w:rtl w:val="0"/>
        </w:rPr>
        <w:t xml:space="preserve">Kovik</w:t>
      </w:r>
      <w:r w:rsidDel="00000000" w:rsidR="00000000" w:rsidRPr="00000000">
        <w:rPr>
          <w:rtl w:val="0"/>
        </w:rPr>
        <w:t xml:space="preserve">, les données de potentiel publiées au format officiel sont plus fragmentaires; pour plusieurs de ces rivières, il faut assumer honnêtement </w:t>
      </w:r>
      <w:r w:rsidDel="00000000" w:rsidR="00000000" w:rsidRPr="00000000">
        <w:rPr>
          <w:b w:val="1"/>
          <w:bCs w:val="1"/>
          <w:rtl w:val="0"/>
        </w:rPr>
        <w:t xml:space="preserve">« non publié / non trouvé »</w:t>
      </w:r>
      <w:r w:rsidDel="00000000" w:rsidR="00000000" w:rsidRPr="00000000">
        <w:rPr>
          <w:rtl w:val="0"/>
        </w:rPr>
        <w:t xml:space="preserve"> plutôt que d’inventer. citeturn21search0turn0search37turn8search0turn12search1turn22search6turn1search0turn1search2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 l’objectif est un </w:t>
      </w:r>
      <w:r w:rsidDel="00000000" w:rsidR="00000000" w:rsidRPr="00000000">
        <w:rPr>
          <w:b w:val="1"/>
          <w:bCs w:val="1"/>
          <w:rtl w:val="0"/>
        </w:rPr>
        <w:t xml:space="preserve">projet d’exportation</w:t>
      </w:r>
      <w:r w:rsidDel="00000000" w:rsidR="00000000" w:rsidRPr="00000000">
        <w:rPr>
          <w:rtl w:val="0"/>
        </w:rPr>
        <w:t xml:space="preserve"> raccordé au réseau principal, la hiérarchie pratique qui se dégage est : </w:t>
      </w:r>
      <w:r w:rsidDel="00000000" w:rsidR="00000000" w:rsidRPr="00000000">
        <w:rPr>
          <w:b w:val="1"/>
          <w:bCs w:val="1"/>
          <w:rtl w:val="0"/>
        </w:rPr>
        <w:t xml:space="preserve">Grande rivière de la Baleine</w:t>
      </w:r>
      <w:r w:rsidDel="00000000" w:rsidR="00000000" w:rsidRPr="00000000">
        <w:rPr>
          <w:rtl w:val="0"/>
        </w:rPr>
        <w:t xml:space="preserve"> d’abord, ensuite </w:t>
      </w:r>
      <w:r w:rsidDel="00000000" w:rsidR="00000000" w:rsidRPr="00000000">
        <w:rPr>
          <w:b w:val="1"/>
          <w:bCs w:val="1"/>
          <w:rtl w:val="0"/>
        </w:rPr>
        <w:t xml:space="preserve">Petite rivière de la Baleine</w:t>
      </w:r>
      <w:r w:rsidDel="00000000" w:rsidR="00000000" w:rsidRPr="00000000">
        <w:rPr>
          <w:rtl w:val="0"/>
        </w:rPr>
        <w:t xml:space="preserve"> et éventuellement </w:t>
      </w:r>
      <w:r w:rsidDel="00000000" w:rsidR="00000000" w:rsidRPr="00000000">
        <w:rPr>
          <w:b w:val="1"/>
          <w:bCs w:val="1"/>
          <w:rtl w:val="0"/>
        </w:rPr>
        <w:t xml:space="preserve">Nastapoka</w:t>
      </w:r>
      <w:r w:rsidDel="00000000" w:rsidR="00000000" w:rsidRPr="00000000">
        <w:rPr>
          <w:rtl w:val="0"/>
        </w:rPr>
        <w:t xml:space="preserve"> comme satellites historiques du dossier Grande-Baleine; au-delà, </w:t>
      </w:r>
      <w:r w:rsidDel="00000000" w:rsidR="00000000" w:rsidRPr="00000000">
        <w:rPr>
          <w:b w:val="1"/>
          <w:bCs w:val="1"/>
          <w:rtl w:val="0"/>
        </w:rPr>
        <w:t xml:space="preserve">Innuksuac</w:t>
      </w:r>
      <w:r w:rsidDel="00000000" w:rsidR="00000000" w:rsidRPr="00000000">
        <w:rPr>
          <w:rtl w:val="0"/>
        </w:rPr>
        <w:t xml:space="preserve"> et </w:t>
      </w:r>
      <w:r w:rsidDel="00000000" w:rsidR="00000000" w:rsidRPr="00000000">
        <w:rPr>
          <w:b w:val="1"/>
          <w:bCs w:val="1"/>
          <w:rtl w:val="0"/>
        </w:rPr>
        <w:t xml:space="preserve">Puvirnituq</w:t>
      </w:r>
      <w:r w:rsidDel="00000000" w:rsidR="00000000" w:rsidRPr="00000000">
        <w:rPr>
          <w:rtl w:val="0"/>
        </w:rPr>
        <w:t xml:space="preserve"> paraissent beaucoup plus crédibles en logique </w:t>
      </w:r>
      <w:r w:rsidDel="00000000" w:rsidR="00000000" w:rsidRPr="00000000">
        <w:rPr>
          <w:b w:val="1"/>
          <w:bCs w:val="1"/>
          <w:rtl w:val="0"/>
        </w:rPr>
        <w:t xml:space="preserve">locale/réseau autonome</w:t>
      </w:r>
      <w:r w:rsidDel="00000000" w:rsidR="00000000" w:rsidRPr="00000000">
        <w:rPr>
          <w:rtl w:val="0"/>
        </w:rPr>
        <w:t xml:space="preserve"> qu’en raccordement au réseau principal. C’est d’ailleurs exactement la logique démontrée par </w:t>
      </w:r>
      <w:r w:rsidDel="00000000" w:rsidR="00000000" w:rsidRPr="00000000">
        <w:rPr>
          <w:b w:val="1"/>
          <w:bCs w:val="1"/>
          <w:rtl w:val="0"/>
        </w:rPr>
        <w:t xml:space="preserve">Innavik</w:t>
      </w:r>
      <w:r w:rsidDel="00000000" w:rsidR="00000000" w:rsidRPr="00000000">
        <w:rPr>
          <w:rtl w:val="0"/>
        </w:rPr>
        <w:t xml:space="preserve">, centrale au fil de l’eau de </w:t>
      </w:r>
      <w:r w:rsidDel="00000000" w:rsidR="00000000" w:rsidRPr="00000000">
        <w:rPr>
          <w:b w:val="1"/>
          <w:bCs w:val="1"/>
          <w:rtl w:val="0"/>
        </w:rPr>
        <w:t xml:space="preserve">7,5 MW</w:t>
      </w:r>
      <w:r w:rsidDel="00000000" w:rsidR="00000000" w:rsidRPr="00000000">
        <w:rPr>
          <w:rtl w:val="0"/>
        </w:rPr>
        <w:t xml:space="preserve"> à </w:t>
      </w:r>
      <w:r w:rsidDel="00000000" w:rsidR="00000000" w:rsidRPr="00000000">
        <w:rPr>
          <w:b w:val="1"/>
          <w:bCs w:val="1"/>
          <w:rtl w:val="0"/>
        </w:rPr>
        <w:t xml:space="preserve">10,3 km</w:t>
      </w:r>
      <w:r w:rsidDel="00000000" w:rsidR="00000000" w:rsidRPr="00000000">
        <w:rPr>
          <w:rtl w:val="0"/>
        </w:rPr>
        <w:t xml:space="preserve"> de l’embouchure de l’Innuksuac, développée pour l’alimentation locale d’entity["city","Inukjuak","Nunavik, QC, CA"] et non pour un long transport vers le sud. citeturn22search2turn22search6turn22search0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Cette conclusion rejoint la logique stratégique de votre documentation interne : pour un déploiement graduel, la </w:t>
      </w:r>
      <w:r w:rsidDel="00000000" w:rsidR="00000000" w:rsidRPr="00000000">
        <w:rPr>
          <w:b w:val="1"/>
          <w:bCs w:val="1"/>
          <w:rtl w:val="0"/>
        </w:rPr>
        <w:t xml:space="preserve">proximité des villages, des accès et des réseaux existants</w:t>
      </w:r>
      <w:r w:rsidDel="00000000" w:rsidR="00000000" w:rsidRPr="00000000">
        <w:rPr>
          <w:rtl w:val="0"/>
        </w:rPr>
        <w:t xml:space="preserve"> pèse souvent davantage que le MW théorique brut. fileciteturn0file0 fileciteturn0file1</w:t>
      </w:r>
    </w:p>
    <w:p w:rsidR="00000000" w:rsidDel="00000000" w:rsidP="00000000" w:rsidRDefault="00000000" w:rsidRPr="00000000" w14:paraId="0000000C">
      <w:pPr>
        <w:pStyle w:val="Heading2"/>
        <w:rPr/>
      </w:pPr>
      <w:bookmarkStart w:colFirst="0" w:colLast="0" w:name="_awf2ji7qskpu" w:id="2"/>
      <w:bookmarkEnd w:id="2"/>
      <w:r w:rsidDel="00000000" w:rsidR="00000000" w:rsidRPr="00000000">
        <w:rPr>
          <w:rtl w:val="0"/>
        </w:rPr>
        <w:t xml:space="preserve">Méthode et hypothèses</w:t>
      </w:r>
    </w:p>
    <w:p w:rsidR="00000000" w:rsidDel="00000000" w:rsidP="00000000" w:rsidRDefault="00000000" w:rsidRPr="00000000" w14:paraId="0000000D">
      <w:pPr>
        <w:rPr/>
      </w:pPr>
      <w:r w:rsidDel="00000000" w:rsidR="00000000" w:rsidRPr="00000000">
        <w:rPr>
          <w:rtl w:val="0"/>
        </w:rPr>
        <w:t xml:space="preserve">Les distances ci-dessous sont des </w:t>
      </w:r>
      <w:r w:rsidDel="00000000" w:rsidR="00000000" w:rsidRPr="00000000">
        <w:rPr>
          <w:b w:val="1"/>
          <w:bCs w:val="1"/>
          <w:rtl w:val="0"/>
        </w:rPr>
        <w:t xml:space="preserve">distances orthodromiques approximatives</w:t>
      </w:r>
      <w:r w:rsidDel="00000000" w:rsidR="00000000" w:rsidRPr="00000000">
        <w:rPr>
          <w:rtl w:val="0"/>
        </w:rPr>
        <w:t xml:space="preserve"> calculées à partir des coordonnées officielles de </w:t>
      </w:r>
      <w:r w:rsidDel="00000000" w:rsidR="00000000" w:rsidRPr="00000000">
        <w:rPr>
          <w:b w:val="1"/>
          <w:bCs w:val="1"/>
          <w:rtl w:val="0"/>
        </w:rPr>
        <w:t xml:space="preserve">La Grande‑1</w:t>
      </w:r>
      <w:r w:rsidDel="00000000" w:rsidR="00000000" w:rsidRPr="00000000">
        <w:rPr>
          <w:rtl w:val="0"/>
        </w:rPr>
        <w:t xml:space="preserve"> et des embouchures ou villages adjacents publiées par la Commission de toponymie du Québec. Elles servent de </w:t>
      </w:r>
      <w:r w:rsidDel="00000000" w:rsidR="00000000" w:rsidRPr="00000000">
        <w:rPr>
          <w:b w:val="1"/>
          <w:bCs w:val="1"/>
          <w:rtl w:val="0"/>
        </w:rPr>
        <w:t xml:space="preserve">minimum géométrique</w:t>
      </w:r>
      <w:r w:rsidDel="00000000" w:rsidR="00000000" w:rsidRPr="00000000">
        <w:rPr>
          <w:rtl w:val="0"/>
        </w:rPr>
        <w:t xml:space="preserve">. La longueur réelle d’une ligne serait normalement </w:t>
      </w:r>
      <w:r w:rsidDel="00000000" w:rsidR="00000000" w:rsidRPr="00000000">
        <w:rPr>
          <w:b w:val="1"/>
          <w:bCs w:val="1"/>
          <w:rtl w:val="0"/>
        </w:rPr>
        <w:t xml:space="preserve">plus longue</w:t>
      </w:r>
      <w:r w:rsidDel="00000000" w:rsidR="00000000" w:rsidRPr="00000000">
        <w:rPr>
          <w:rtl w:val="0"/>
        </w:rPr>
        <w:t xml:space="preserve"> à cause du tracé, des évitements, des franchissements de cours d’eau, des contraintes géotechniques et des servitudes. Pour l’</w:t>
      </w:r>
      <w:r w:rsidDel="00000000" w:rsidR="00000000" w:rsidRPr="00000000">
        <w:rPr>
          <w:b w:val="1"/>
          <w:bCs w:val="1"/>
          <w:rtl w:val="0"/>
        </w:rPr>
        <w:t xml:space="preserve">ordre de grandeur</w:t>
      </w:r>
      <w:r w:rsidDel="00000000" w:rsidR="00000000" w:rsidRPr="00000000">
        <w:rPr>
          <w:rtl w:val="0"/>
        </w:rPr>
        <w:t xml:space="preserve"> de la ligne, j’applique un allongement simple d’environ </w:t>
      </w:r>
      <w:r w:rsidDel="00000000" w:rsidR="00000000" w:rsidRPr="00000000">
        <w:rPr>
          <w:b w:val="1"/>
          <w:bCs w:val="1"/>
          <w:rtl w:val="0"/>
        </w:rPr>
        <w:t xml:space="preserve">10 à 30 %</w:t>
      </w:r>
      <w:r w:rsidDel="00000000" w:rsidR="00000000" w:rsidRPr="00000000">
        <w:rPr>
          <w:rtl w:val="0"/>
        </w:rPr>
        <w:t xml:space="preserve">. citeturn29search1turn27search1turn27search0turn27search6turn26search2turn28search0turn30search0turn30search2turn31search0turn30search1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Pour les coûts de lignes, j’utilise un </w:t>
      </w:r>
      <w:r w:rsidDel="00000000" w:rsidR="00000000" w:rsidRPr="00000000">
        <w:rPr>
          <w:b w:val="1"/>
          <w:bCs w:val="1"/>
          <w:rtl w:val="0"/>
        </w:rPr>
        <w:t xml:space="preserve">criblage de haut niveau</w:t>
      </w:r>
      <w:r w:rsidDel="00000000" w:rsidR="00000000" w:rsidRPr="00000000">
        <w:rPr>
          <w:rtl w:val="0"/>
        </w:rPr>
        <w:t xml:space="preserve"> et non une estimation de classe A/B. Les repères utilisés sont : </w:t>
      </w:r>
      <w:r w:rsidDel="00000000" w:rsidR="00000000" w:rsidRPr="00000000">
        <w:rPr>
          <w:b w:val="1"/>
          <w:bCs w:val="1"/>
          <w:rtl w:val="0"/>
        </w:rPr>
        <w:t xml:space="preserve">230 kV ≈ 1,6 M$/km</w:t>
      </w:r>
      <w:r w:rsidDel="00000000" w:rsidR="00000000" w:rsidRPr="00000000">
        <w:rPr>
          <w:rtl w:val="0"/>
        </w:rPr>
        <w:t xml:space="preserve"> comme valeur de planification générique; </w:t>
      </w:r>
      <w:r w:rsidDel="00000000" w:rsidR="00000000" w:rsidRPr="00000000">
        <w:rPr>
          <w:b w:val="1"/>
          <w:bCs w:val="1"/>
          <w:rtl w:val="0"/>
        </w:rPr>
        <w:t xml:space="preserve">315–345 kV ≈ 2,4 M$/km</w:t>
      </w:r>
      <w:r w:rsidDel="00000000" w:rsidR="00000000" w:rsidRPr="00000000">
        <w:rPr>
          <w:rtl w:val="0"/>
        </w:rPr>
        <w:t xml:space="preserve"> comme proxy de base, avec un cas observé d’environ </w:t>
      </w:r>
      <w:r w:rsidDel="00000000" w:rsidR="00000000" w:rsidRPr="00000000">
        <w:rPr>
          <w:b w:val="1"/>
          <w:bCs w:val="1"/>
          <w:rtl w:val="0"/>
        </w:rPr>
        <w:t xml:space="preserve">30 M$ pour 11 km</w:t>
      </w:r>
      <w:r w:rsidDel="00000000" w:rsidR="00000000" w:rsidRPr="00000000">
        <w:rPr>
          <w:rtl w:val="0"/>
        </w:rPr>
        <w:t xml:space="preserve"> d’ouvrage 315 kV en milieu beaucoup plus favorable; et </w:t>
      </w:r>
      <w:r w:rsidDel="00000000" w:rsidR="00000000" w:rsidRPr="00000000">
        <w:rPr>
          <w:b w:val="1"/>
          <w:bCs w:val="1"/>
          <w:rtl w:val="0"/>
        </w:rPr>
        <w:t xml:space="preserve">735 kV ≈ 2,4 à 4,9 M$/km</w:t>
      </w:r>
      <w:r w:rsidDel="00000000" w:rsidR="00000000" w:rsidRPr="00000000">
        <w:rPr>
          <w:rtl w:val="0"/>
        </w:rPr>
        <w:t xml:space="preserve"> à partir de projets québécois récents/observés. Pour le Nord éloigné, j’applique ensuite une </w:t>
      </w:r>
      <w:r w:rsidDel="00000000" w:rsidR="00000000" w:rsidRPr="00000000">
        <w:rPr>
          <w:b w:val="1"/>
          <w:bCs w:val="1"/>
          <w:rtl w:val="0"/>
        </w:rPr>
        <w:t xml:space="preserve">majoration de criblage</w:t>
      </w:r>
      <w:r w:rsidDel="00000000" w:rsidR="00000000" w:rsidRPr="00000000">
        <w:rPr>
          <w:rtl w:val="0"/>
        </w:rPr>
        <w:t xml:space="preserve"> menant à une fourchette pratique d’environ </w:t>
      </w:r>
      <w:r w:rsidDel="00000000" w:rsidR="00000000" w:rsidRPr="00000000">
        <w:rPr>
          <w:b w:val="1"/>
          <w:bCs w:val="1"/>
          <w:rtl w:val="0"/>
        </w:rPr>
        <w:t xml:space="preserve">3,5 à 10 M$/km</w:t>
      </w:r>
      <w:r w:rsidDel="00000000" w:rsidR="00000000" w:rsidRPr="00000000">
        <w:rPr>
          <w:rtl w:val="0"/>
        </w:rPr>
        <w:t xml:space="preserve"> pour une ligne d’exportation 315/735 kV, en rappelant que les coûts d’infrastructure nordique peuvent être </w:t>
      </w:r>
      <w:r w:rsidDel="00000000" w:rsidR="00000000" w:rsidRPr="00000000">
        <w:rPr>
          <w:b w:val="1"/>
          <w:bCs w:val="1"/>
          <w:rtl w:val="0"/>
        </w:rPr>
        <w:t xml:space="preserve">plus du double</w:t>
      </w:r>
      <w:r w:rsidDel="00000000" w:rsidR="00000000" w:rsidRPr="00000000">
        <w:rPr>
          <w:rtl w:val="0"/>
        </w:rPr>
        <w:t xml:space="preserve"> de scénarios méridionaux selon le type d’ouvrage. citeturn19search36turn17search8turn14search1turn14search6turn14search7turn20search4turn20search42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Enfin, deux avertissements méthodologiques sont importants. D’abord, certains </w:t>
      </w:r>
      <w:r w:rsidDel="00000000" w:rsidR="00000000" w:rsidRPr="00000000">
        <w:rPr>
          <w:b w:val="1"/>
          <w:bCs w:val="1"/>
          <w:rtl w:val="0"/>
        </w:rPr>
        <w:t xml:space="preserve">Q10,7</w:t>
      </w:r>
      <w:r w:rsidDel="00000000" w:rsidR="00000000" w:rsidRPr="00000000">
        <w:rPr>
          <w:rtl w:val="0"/>
        </w:rPr>
        <w:t xml:space="preserve"> et certains </w:t>
      </w:r>
      <w:r w:rsidDel="00000000" w:rsidR="00000000" w:rsidRPr="00000000">
        <w:rPr>
          <w:b w:val="1"/>
          <w:bCs w:val="1"/>
          <w:rtl w:val="0"/>
        </w:rPr>
        <w:t xml:space="preserve">débits moyens</w:t>
      </w:r>
      <w:r w:rsidDel="00000000" w:rsidR="00000000" w:rsidRPr="00000000">
        <w:rPr>
          <w:rtl w:val="0"/>
        </w:rPr>
        <w:t xml:space="preserve"> ne proviennent pas exactement de la même station ou de la même période; je l’indique lorsque c’est le cas. Ensuite, les entrées </w:t>
      </w:r>
      <w:r w:rsidDel="00000000" w:rsidR="00000000" w:rsidRPr="00000000">
        <w:rPr>
          <w:b w:val="1"/>
          <w:bCs w:val="1"/>
          <w:rtl w:val="0"/>
        </w:rPr>
        <w:t xml:space="preserve">Caniapiscau</w:t>
      </w:r>
      <w:r w:rsidDel="00000000" w:rsidR="00000000" w:rsidRPr="00000000">
        <w:rPr>
          <w:rtl w:val="0"/>
        </w:rPr>
        <w:t xml:space="preserve"> et </w:t>
      </w:r>
      <w:r w:rsidDel="00000000" w:rsidR="00000000" w:rsidRPr="00000000">
        <w:rPr>
          <w:b w:val="1"/>
          <w:bCs w:val="1"/>
          <w:rtl w:val="0"/>
        </w:rPr>
        <w:t xml:space="preserve">Aux Mélèzes</w:t>
      </w:r>
      <w:r w:rsidDel="00000000" w:rsidR="00000000" w:rsidRPr="00000000">
        <w:rPr>
          <w:rtl w:val="0"/>
        </w:rPr>
        <w:t xml:space="preserve"> sont des </w:t>
      </w:r>
      <w:r w:rsidDel="00000000" w:rsidR="00000000" w:rsidRPr="00000000">
        <w:rPr>
          <w:b w:val="1"/>
          <w:bCs w:val="1"/>
          <w:rtl w:val="0"/>
        </w:rPr>
        <w:t xml:space="preserve">rivières contextuelles de l’est/Koksoak</w:t>
      </w:r>
      <w:r w:rsidDel="00000000" w:rsidR="00000000" w:rsidRPr="00000000">
        <w:rPr>
          <w:rtl w:val="0"/>
        </w:rPr>
        <w:t xml:space="preserve">, pas des embouchures directes du littoral ouest de la baie d’Hudson; elles servent surtout de comparaison hydrologique et de contexte de développement. citeturn21search0turn0search37</w:t>
      </w:r>
    </w:p>
    <w:p w:rsidR="00000000" w:rsidDel="00000000" w:rsidP="00000000" w:rsidRDefault="00000000" w:rsidRPr="00000000" w14:paraId="00000012">
      <w:pPr>
        <w:pStyle w:val="Heading2"/>
        <w:rPr/>
      </w:pPr>
      <w:bookmarkStart w:colFirst="0" w:colLast="0" w:name="_8a5237drdbi8" w:id="3"/>
      <w:bookmarkEnd w:id="3"/>
      <w:r w:rsidDel="00000000" w:rsidR="00000000" w:rsidRPr="00000000">
        <w:rPr>
          <w:rtl w:val="0"/>
        </w:rPr>
        <w:t xml:space="preserve">Tableau comparatif</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Rivière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right"/>
              <w:rPr>
                <w:b w:val="1"/>
                <w:bCs w:val="1"/>
              </w:rPr>
            </w:pPr>
            <w:r w:rsidDel="00000000" w:rsidR="00000000" w:rsidRPr="00000000">
              <w:rPr>
                <w:b w:val="1"/>
                <w:bCs w:val="1"/>
                <w:rtl w:val="0"/>
              </w:rPr>
              <w:t xml:space="preserve">Dist. droite depuis La Grande‑1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Hydrologie publique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Potentiel hydroélectrique publié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Village(s) le(s) plus proche(s)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right"/>
              <w:rPr>
                <w:b w:val="1"/>
                <w:bCs w:val="1"/>
              </w:rPr>
            </w:pPr>
            <w:r w:rsidDel="00000000" w:rsidR="00000000" w:rsidRPr="00000000">
              <w:rPr>
                <w:b w:val="1"/>
                <w:bCs w:val="1"/>
                <w:rtl w:val="0"/>
              </w:rPr>
              <w:t xml:space="preserve">Ligne HV estimée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right"/>
              <w:rPr>
                <w:b w:val="1"/>
                <w:bCs w:val="1"/>
              </w:rPr>
            </w:pPr>
            <w:r w:rsidDel="00000000" w:rsidR="00000000" w:rsidRPr="00000000">
              <w:rPr>
                <w:b w:val="1"/>
                <w:bCs w:val="1"/>
                <w:rtl w:val="0"/>
              </w:rPr>
              <w:t xml:space="preserve">Coût ligne estimé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Grande rivière de la Baleine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right"/>
              <w:rPr/>
            </w:pPr>
            <w:r w:rsidDel="00000000" w:rsidR="00000000" w:rsidRPr="00000000">
              <w:rPr>
                <w:rtl w:val="0"/>
              </w:rPr>
              <w:t xml:space="preserve">~177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Station 093801; bassin station 36 300 km²; débit moyen 527,6 m³/s; min historique 89,7 m³/s; Q10,7 hiver 99,6; été‑automne 321,7 m³/s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3 000 à 3 158 MW</w:t>
            </w:r>
            <w:r w:rsidDel="00000000" w:rsidR="00000000" w:rsidRPr="00000000">
              <w:rPr>
                <w:rtl w:val="0"/>
              </w:rPr>
              <w:t xml:space="preserve">, mais pour le </w:t>
            </w:r>
            <w:r w:rsidDel="00000000" w:rsidR="00000000" w:rsidRPr="00000000">
              <w:rPr>
                <w:b w:val="1"/>
                <w:bCs w:val="1"/>
                <w:rtl w:val="0"/>
              </w:rPr>
              <w:t xml:space="preserve">complexe Grande‑Baleine</w:t>
            </w:r>
            <w:r w:rsidDel="00000000" w:rsidR="00000000" w:rsidRPr="00000000">
              <w:rPr>
                <w:rtl w:val="0"/>
              </w:rPr>
              <w:t xml:space="preserve"> et non un MW strictement « rivière seule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entity["city","Kuujjuarapik","Nunavik, QC, CA"] 792 et entity["place","Whapmagoostui","Eeyou Istchee, QC, CA"] 1 022, à l’embouchure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right"/>
              <w:rPr/>
            </w:pPr>
            <w:r w:rsidDel="00000000" w:rsidR="00000000" w:rsidRPr="00000000">
              <w:rPr>
                <w:rtl w:val="0"/>
              </w:rPr>
              <w:t xml:space="preserve">~200–230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right"/>
              <w:rPr/>
            </w:pPr>
            <w:r w:rsidDel="00000000" w:rsidR="00000000" w:rsidRPr="00000000">
              <w:rPr>
                <w:rtl w:val="0"/>
              </w:rPr>
              <w:t xml:space="preserve">~0,7–2,3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Petite rivière de la Baleine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right"/>
              <w:rPr/>
            </w:pPr>
            <w:r w:rsidDel="00000000" w:rsidR="00000000" w:rsidRPr="00000000">
              <w:rPr>
                <w:rtl w:val="0"/>
              </w:rPr>
              <w:t xml:space="preserve">~276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Station 094206; bassin station 8 390 km²; débit moyen 102,9 m³/s; min historique 21,1 m³/s; Q10 non trouvé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670 MW</w:t>
            </w:r>
            <w:r w:rsidDel="00000000" w:rsidR="00000000" w:rsidRPr="00000000">
              <w:rPr>
                <w:rtl w:val="0"/>
              </w:rPr>
              <w:t xml:space="preserve"> (source secondaire)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entity["city","Umiujaq","Nunavik, QC, CA"] 541; embouchure à env. 100 km NE de Kuujjuarapik, donc ordre de grandeur ~60 km SW d’Umiujaq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right"/>
              <w:rPr/>
            </w:pPr>
            <w:r w:rsidDel="00000000" w:rsidR="00000000" w:rsidRPr="00000000">
              <w:rPr>
                <w:rtl w:val="0"/>
              </w:rPr>
              <w:t xml:space="preserve">~300–360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right"/>
              <w:rPr/>
            </w:pPr>
            <w:r w:rsidDel="00000000" w:rsidR="00000000" w:rsidRPr="00000000">
              <w:rPr>
                <w:rtl w:val="0"/>
              </w:rPr>
              <w:t xml:space="preserve">~1,1–3,6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Nastapoka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right"/>
              <w:rPr/>
            </w:pPr>
            <w:r w:rsidDel="00000000" w:rsidR="00000000" w:rsidRPr="00000000">
              <w:rPr>
                <w:rtl w:val="0"/>
              </w:rPr>
              <w:t xml:space="preserve">~374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Portrait régional: station 095003, bassin 10 400 km², débit moyen 192,4 m³/s, min 51,7 m³/s; Q10,7 disponible à la station 095002: hiver 62,07; été‑automne 157,34 m³/s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500 MW</w:t>
            </w:r>
            <w:r w:rsidDel="00000000" w:rsidR="00000000" w:rsidRPr="00000000">
              <w:rPr>
                <w:rtl w:val="0"/>
              </w:rPr>
              <w:t xml:space="preserve"> (source secondaire); Hydro‑Québec parlait d’un projet « marginal » d’environ 500 MW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Umiujaq 541; la rivière est au nord d’entity["point_of_interest","Tursujuq","Nunavik parks"], ordre de grandeur ~30–60 km du village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right"/>
              <w:rPr/>
            </w:pPr>
            <w:r w:rsidDel="00000000" w:rsidR="00000000" w:rsidRPr="00000000">
              <w:rPr>
                <w:rtl w:val="0"/>
              </w:rPr>
              <w:t xml:space="preserve">~410–490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right"/>
              <w:rPr/>
            </w:pPr>
            <w:r w:rsidDel="00000000" w:rsidR="00000000" w:rsidRPr="00000000">
              <w:rPr>
                <w:rtl w:val="0"/>
              </w:rPr>
              <w:t xml:space="preserve">~1,4–4,9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Innuksuac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right"/>
              <w:rPr/>
            </w:pPr>
            <w:r w:rsidDel="00000000" w:rsidR="00000000" w:rsidRPr="00000000">
              <w:rPr>
                <w:rtl w:val="0"/>
              </w:rPr>
              <w:t xml:space="preserve">~524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Stations 096101 (historique, 15,3 km de l’embouchure, bassin 11 200 km²) et 096102 (ouverte, proche d’Inukjuak, bassin 10 698 km², influencée); débit moyen public consolidé non trouvé; estimation secondaire 102 m³/s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7,5 MW</w:t>
            </w:r>
            <w:r w:rsidDel="00000000" w:rsidR="00000000" w:rsidRPr="00000000">
              <w:rPr>
                <w:rtl w:val="0"/>
              </w:rPr>
              <w:t xml:space="preserve"> pour </w:t>
            </w:r>
            <w:r w:rsidDel="00000000" w:rsidR="00000000" w:rsidRPr="00000000">
              <w:rPr>
                <w:b w:val="1"/>
                <w:bCs w:val="1"/>
                <w:rtl w:val="0"/>
              </w:rPr>
              <w:t xml:space="preserve">Innavik</w:t>
            </w:r>
            <w:r w:rsidDel="00000000" w:rsidR="00000000" w:rsidRPr="00000000">
              <w:rPr>
                <w:rtl w:val="0"/>
              </w:rPr>
              <w:t xml:space="preserve"> au fil de l’eau, à 10,3 km de l’embouchure; potentiel « grande filière export » non publié / non trouvé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Inukjuak 1 821, à l’embouchure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right"/>
              <w:rPr/>
            </w:pPr>
            <w:r w:rsidDel="00000000" w:rsidR="00000000" w:rsidRPr="00000000">
              <w:rPr>
                <w:rtl w:val="0"/>
              </w:rPr>
              <w:t xml:space="preserve">~575–680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right"/>
              <w:rPr/>
            </w:pPr>
            <w:r w:rsidDel="00000000" w:rsidR="00000000" w:rsidRPr="00000000">
              <w:rPr>
                <w:rtl w:val="0"/>
              </w:rPr>
              <w:t xml:space="preserve">~2,0–6,8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Rivière de Puvirnituq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right"/>
              <w:rPr/>
            </w:pPr>
            <w:r w:rsidDel="00000000" w:rsidR="00000000" w:rsidRPr="00000000">
              <w:rPr>
                <w:rtl w:val="0"/>
              </w:rPr>
              <w:t xml:space="preserve">~701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Station ID officielle non trouvée dans les sources consultées; bassin 13 701 km² et module 149 m³/s publiés secondairement; Q10 non trouvé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b w:val="1"/>
                <w:bCs w:val="1"/>
                <w:rtl w:val="0"/>
              </w:rPr>
              <w:t xml:space="preserve">non publié / non trouvé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entity["city","Puvirnituq","Nunavik, QC, CA"] 2 129, à l’embouchure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right"/>
              <w:rPr/>
            </w:pPr>
            <w:r w:rsidDel="00000000" w:rsidR="00000000" w:rsidRPr="00000000">
              <w:rPr>
                <w:rtl w:val="0"/>
              </w:rPr>
              <w:t xml:space="preserve">~770–910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right"/>
              <w:rPr/>
            </w:pPr>
            <w:r w:rsidDel="00000000" w:rsidR="00000000" w:rsidRPr="00000000">
              <w:rPr>
                <w:rtl w:val="0"/>
              </w:rPr>
              <w:t xml:space="preserve">~2,7–9,1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Kovik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right"/>
              <w:rPr/>
            </w:pPr>
            <w:r w:rsidDel="00000000" w:rsidR="00000000" w:rsidRPr="00000000">
              <w:rPr>
                <w:rtl w:val="0"/>
              </w:rPr>
              <w:t xml:space="preserve">~874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Station ID, bassin et module officiels non trouvés dans les sources consultées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non publié / non trouvé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entity["city","Akulivik","Nunavik, QC, CA"] 642; distance à l’embouchure ~90 km selon source cartographique secondaire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right"/>
              <w:rPr/>
            </w:pPr>
            <w:r w:rsidDel="00000000" w:rsidR="00000000" w:rsidRPr="00000000">
              <w:rPr>
                <w:rtl w:val="0"/>
              </w:rPr>
              <w:t xml:space="preserve">~960–1 140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right"/>
              <w:rPr/>
            </w:pPr>
            <w:r w:rsidDel="00000000" w:rsidR="00000000" w:rsidRPr="00000000">
              <w:rPr>
                <w:rtl w:val="0"/>
              </w:rPr>
              <w:t xml:space="preserve">~3,4–11,4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Caniapiscau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right"/>
              <w:rPr/>
            </w:pPr>
            <w:r w:rsidDel="00000000" w:rsidR="00000000" w:rsidRPr="00000000">
              <w:rPr>
                <w:rtl w:val="0"/>
              </w:rPr>
              <w:t xml:space="preserve">~716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Station 103702; bassin 48 500 km²; débit moyen 1 335,8 m³/s; min 68,6 m³/s; Q10 non trouvé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~1 600 MW</w:t>
            </w:r>
            <w:r w:rsidDel="00000000" w:rsidR="00000000" w:rsidRPr="00000000">
              <w:rPr>
                <w:rtl w:val="0"/>
              </w:rPr>
              <w:t xml:space="preserve"> dans l’étude Hydro‑Québec 2002; attention : hydrologie déjà modifiée par dérivation vers La Grande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entity["city","Kuujjuaq","Nunavik, QC, CA"] 2 668 comme principal pôle du système Koksoak; non directement comparable au littoral ouest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right"/>
              <w:rPr/>
            </w:pPr>
            <w:r w:rsidDel="00000000" w:rsidR="00000000" w:rsidRPr="00000000">
              <w:rPr>
                <w:rtl w:val="0"/>
              </w:rPr>
              <w:t xml:space="preserve">~790–930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right"/>
              <w:rPr/>
            </w:pPr>
            <w:r w:rsidDel="00000000" w:rsidR="00000000" w:rsidRPr="00000000">
              <w:rPr>
                <w:rtl w:val="0"/>
              </w:rPr>
              <w:t xml:space="preserve">~2,8–9,3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George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right"/>
              <w:rPr/>
            </w:pPr>
            <w:r w:rsidDel="00000000" w:rsidR="00000000" w:rsidRPr="00000000">
              <w:rPr>
                <w:rtl w:val="0"/>
              </w:rPr>
              <w:t xml:space="preserve">~949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Station 104803; bassin 26 900 km²; débit moyen 504,7 m³/s; min 25,9 m³/s; Q10 non trouvé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~3 100 MW</w:t>
            </w:r>
            <w:r w:rsidDel="00000000" w:rsidR="00000000" w:rsidRPr="00000000">
              <w:rPr>
                <w:rtl w:val="0"/>
              </w:rPr>
              <w:t xml:space="preserve"> dans l’étude Hydro‑Québec 2002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entity["city","Kangiqsualujjuaq","Nunavik, QC, CA"] 956, à proximité de l’estuaire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right"/>
              <w:rPr/>
            </w:pPr>
            <w:r w:rsidDel="00000000" w:rsidR="00000000" w:rsidRPr="00000000">
              <w:rPr>
                <w:rtl w:val="0"/>
              </w:rPr>
              <w:t xml:space="preserve">~1 040–1 230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right"/>
              <w:rPr/>
            </w:pPr>
            <w:r w:rsidDel="00000000" w:rsidR="00000000" w:rsidRPr="00000000">
              <w:rPr>
                <w:rtl w:val="0"/>
              </w:rPr>
              <w:t xml:space="preserve">~3,6–12,3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Aux Feuilles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right"/>
              <w:rPr/>
            </w:pPr>
            <w:r w:rsidDel="00000000" w:rsidR="00000000" w:rsidRPr="00000000">
              <w:rPr>
                <w:rtl w:val="0"/>
              </w:rPr>
              <w:t xml:space="preserve">~767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Portrait régional: station 102701, bassin 40 900 km², débit moyen 589,9 m³/s, min 14,9 m³/s; Q10,7 publié à la station 102706: hiver 29,46; été‑automne 70,42 m³/s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700 MW</w:t>
            </w:r>
            <w:r w:rsidDel="00000000" w:rsidR="00000000" w:rsidRPr="00000000">
              <w:rPr>
                <w:rtl w:val="0"/>
              </w:rPr>
              <w:t xml:space="preserve"> (source secondaire)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entity["city","Tasiujaq","Nunavik, QC, CA"] 420; distance exacte bouche-village non trouvée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right"/>
              <w:rPr/>
            </w:pPr>
            <w:r w:rsidDel="00000000" w:rsidR="00000000" w:rsidRPr="00000000">
              <w:rPr>
                <w:rtl w:val="0"/>
              </w:rPr>
              <w:t xml:space="preserve">~845–1 000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right"/>
              <w:rPr/>
            </w:pPr>
            <w:r w:rsidDel="00000000" w:rsidR="00000000" w:rsidRPr="00000000">
              <w:rPr>
                <w:rtl w:val="0"/>
              </w:rPr>
              <w:t xml:space="preserve">~3,0–10,0 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Aux Mélèzes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right"/>
              <w:rPr/>
            </w:pPr>
            <w:r w:rsidDel="00000000" w:rsidR="00000000" w:rsidRPr="00000000">
              <w:rPr>
                <w:rtl w:val="0"/>
              </w:rPr>
              <w:t xml:space="preserve">~716 km au confluent Caniapiscau/Kanniq</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Station 103605; bassin 41 700 km²; débit moyen 604,9 m³/s; min 23,1 m³/s; Q10,7 hiver 26,34; été‑automne 176,50 m³/s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380 MW</w:t>
            </w:r>
            <w:r w:rsidDel="00000000" w:rsidR="00000000" w:rsidRPr="00000000">
              <w:rPr>
                <w:rtl w:val="0"/>
              </w:rPr>
              <w:t xml:space="preserve"> (source secondaire)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Kuujjuaq 2 668 comme principal pôle aval du système Koksoak; non directement comparable au littoral ouest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right"/>
              <w:rPr/>
            </w:pPr>
            <w:r w:rsidDel="00000000" w:rsidR="00000000" w:rsidRPr="00000000">
              <w:rPr>
                <w:rtl w:val="0"/>
              </w:rPr>
              <w:t xml:space="preserve">~790–930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right"/>
              <w:rPr/>
            </w:pPr>
            <w:r w:rsidDel="00000000" w:rsidR="00000000" w:rsidRPr="00000000">
              <w:rPr>
                <w:rtl w:val="0"/>
              </w:rPr>
              <w:t xml:space="preserve">~2,8–9,3 G$</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Sources par ligne</w:t>
      </w:r>
      <w:r w:rsidDel="00000000" w:rsidR="00000000" w:rsidRPr="00000000">
        <w:rPr>
          <w:rtl w:val="0"/>
        </w:rPr>
        <w:t xml:space="preserve"> — Grande Baleine: citeturn21search0turn0search37turn27search1turn13search5turn6search0turn4search26turn4search27turn4search25; Petite Baleine: citeturn21search0turn27search0turn6search5turn1search0; Nastapoka: citeturn21search0turn0search37turn27search6turn1search48turn1search0turn7search2turn6search5; Innuksuac: citeturn12search1turn8search0turn22search6turn22search2turn22search0turn26search2turn6search3; Puvirnituq: citeturn28search0turn6search1turn1search0; Kovik: citeturn7search3turn23search2turn34search21; Caniapiscau: citeturn21search0turn31search0turn1search48; George: citeturn21search0turn30search2turn1search48turn24search1; Aux Feuilles: citeturn21search0turn0search37turn30search0turn23search5turn1search0; Aux Mélèzes: citeturn21search0turn0search37turn30search1turn31search4turn1search0</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Note coût de ligne</w:t>
      </w:r>
      <w:r w:rsidDel="00000000" w:rsidR="00000000" w:rsidRPr="00000000">
        <w:rPr>
          <w:rtl w:val="0"/>
        </w:rPr>
        <w:t xml:space="preserve"> — Les coûts du tableau sont des </w:t>
      </w:r>
      <w:r w:rsidDel="00000000" w:rsidR="00000000" w:rsidRPr="00000000">
        <w:rPr>
          <w:b w:val="1"/>
          <w:bCs w:val="1"/>
          <w:rtl w:val="0"/>
        </w:rPr>
        <w:t xml:space="preserve">criblages</w:t>
      </w:r>
      <w:r w:rsidDel="00000000" w:rsidR="00000000" w:rsidRPr="00000000">
        <w:rPr>
          <w:rtl w:val="0"/>
        </w:rPr>
        <w:t xml:space="preserve"> calculés sur la base d’une longueur de ligne estimée et d’une fourchette </w:t>
      </w:r>
      <w:r w:rsidDel="00000000" w:rsidR="00000000" w:rsidRPr="00000000">
        <w:rPr>
          <w:b w:val="1"/>
          <w:bCs w:val="1"/>
          <w:rtl w:val="0"/>
        </w:rPr>
        <w:t xml:space="preserve">3,5–10 M$/km</w:t>
      </w:r>
      <w:r w:rsidDel="00000000" w:rsidR="00000000" w:rsidRPr="00000000">
        <w:rPr>
          <w:rtl w:val="0"/>
        </w:rPr>
        <w:t xml:space="preserve"> pour une ligne d’exportation 315/735 kV en contexte nordique éloigné; ce n’est ni une estimation d’ingénierie détaillée ni une prévision contractuelle. Les repères de base proviennent de valeurs de planification NRCan/GE et de projets québécois récents à 735 kV; la majoration nordique est une </w:t>
      </w:r>
      <w:r w:rsidDel="00000000" w:rsidR="00000000" w:rsidRPr="00000000">
        <w:rPr>
          <w:b w:val="1"/>
          <w:bCs w:val="1"/>
          <w:rtl w:val="0"/>
        </w:rPr>
        <w:t xml:space="preserve">inférence prudente</w:t>
      </w:r>
      <w:r w:rsidDel="00000000" w:rsidR="00000000" w:rsidRPr="00000000">
        <w:rPr>
          <w:rtl w:val="0"/>
        </w:rPr>
        <w:t xml:space="preserve"> à partir des difficultés documentées de l’infrastructure nordique. citeturn19search36turn14search1turn14search6turn14search7turn20search4turn20search42</w:t>
      </w:r>
    </w:p>
    <w:p w:rsidR="00000000" w:rsidDel="00000000" w:rsidP="00000000" w:rsidRDefault="00000000" w:rsidRPr="00000000" w14:paraId="00000064">
      <w:pPr>
        <w:pStyle w:val="Heading2"/>
        <w:rPr/>
      </w:pPr>
      <w:bookmarkStart w:colFirst="0" w:colLast="0" w:name="_awr7dti25p6w" w:id="4"/>
      <w:bookmarkEnd w:id="4"/>
      <w:r w:rsidDel="00000000" w:rsidR="00000000" w:rsidRPr="00000000">
        <w:rPr>
          <w:rtl w:val="0"/>
        </w:rPr>
        <w:t xml:space="preserve">Analyse par rivière</w:t>
      </w:r>
    </w:p>
    <w:p w:rsidR="00000000" w:rsidDel="00000000" w:rsidP="00000000" w:rsidRDefault="00000000" w:rsidRPr="00000000" w14:paraId="00000065">
      <w:pPr>
        <w:rPr/>
      </w:pPr>
      <w:r w:rsidDel="00000000" w:rsidR="00000000" w:rsidRPr="00000000">
        <w:rPr>
          <w:rtl w:val="0"/>
        </w:rPr>
        <w:t xml:space="preserve">La </w:t>
      </w:r>
      <w:r w:rsidDel="00000000" w:rsidR="00000000" w:rsidRPr="00000000">
        <w:rPr>
          <w:b w:val="1"/>
          <w:bCs w:val="1"/>
          <w:rtl w:val="0"/>
        </w:rPr>
        <w:t xml:space="preserve">Grande rivière de la Baleine</w:t>
      </w:r>
      <w:r w:rsidDel="00000000" w:rsidR="00000000" w:rsidRPr="00000000">
        <w:rPr>
          <w:rtl w:val="0"/>
        </w:rPr>
        <w:t xml:space="preserve"> est la candidate structurante la plus évidente si la logique est le </w:t>
      </w:r>
      <w:r w:rsidDel="00000000" w:rsidR="00000000" w:rsidRPr="00000000">
        <w:rPr>
          <w:b w:val="1"/>
          <w:bCs w:val="1"/>
          <w:rtl w:val="0"/>
        </w:rPr>
        <w:t xml:space="preserve">grand transport vers le sud</w:t>
      </w:r>
      <w:r w:rsidDel="00000000" w:rsidR="00000000" w:rsidRPr="00000000">
        <w:rPr>
          <w:rtl w:val="0"/>
        </w:rPr>
        <w:t xml:space="preserve">. Elle cumule un débit moyen officiel important, une embouchure directement adossée à deux communautés permanentes, et surtout un précédent historique extrêmement documenté : le complexe Grande‑Baleine devait produire </w:t>
      </w:r>
      <w:r w:rsidDel="00000000" w:rsidR="00000000" w:rsidRPr="00000000">
        <w:rPr>
          <w:b w:val="1"/>
          <w:bCs w:val="1"/>
          <w:rtl w:val="0"/>
        </w:rPr>
        <w:t xml:space="preserve">3 158 MW</w:t>
      </w:r>
      <w:r w:rsidDel="00000000" w:rsidR="00000000" w:rsidRPr="00000000">
        <w:rPr>
          <w:rtl w:val="0"/>
        </w:rPr>
        <w:t xml:space="preserve"> avec routes, aéroports et grands réservoirs. Mais ce précédent dit aussi l’essentiel des contraintes : lourdes infrastructures d’accès, impacts majeurs sur les usages cris et inuit, et très forte conflictualité territoriale. En d’autres termes, c’est la meilleure candidate </w:t>
      </w:r>
      <w:r w:rsidDel="00000000" w:rsidR="00000000" w:rsidRPr="00000000">
        <w:rPr>
          <w:b w:val="1"/>
          <w:bCs w:val="1"/>
          <w:rtl w:val="0"/>
        </w:rPr>
        <w:t xml:space="preserve">physiquement</w:t>
      </w:r>
      <w:r w:rsidDel="00000000" w:rsidR="00000000" w:rsidRPr="00000000">
        <w:rPr>
          <w:rtl w:val="0"/>
        </w:rPr>
        <w:t xml:space="preserve">, mais aussi la plus chargée </w:t>
      </w:r>
      <w:r w:rsidDel="00000000" w:rsidR="00000000" w:rsidRPr="00000000">
        <w:rPr>
          <w:b w:val="1"/>
          <w:bCs w:val="1"/>
          <w:rtl w:val="0"/>
        </w:rPr>
        <w:t xml:space="preserve">politiquement et socialement</w:t>
      </w:r>
      <w:r w:rsidDel="00000000" w:rsidR="00000000" w:rsidRPr="00000000">
        <w:rPr>
          <w:rtl w:val="0"/>
        </w:rPr>
        <w:t xml:space="preserve">. citeturn21search0turn4search26turn4search27turn13search5turn6search0</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w:t>
      </w:r>
      <w:r w:rsidDel="00000000" w:rsidR="00000000" w:rsidRPr="00000000">
        <w:rPr>
          <w:b w:val="1"/>
          <w:bCs w:val="1"/>
          <w:rtl w:val="0"/>
        </w:rPr>
        <w:t xml:space="preserve">Petite rivière de la Baleine</w:t>
      </w:r>
      <w:r w:rsidDel="00000000" w:rsidR="00000000" w:rsidRPr="00000000">
        <w:rPr>
          <w:rtl w:val="0"/>
        </w:rPr>
        <w:t xml:space="preserve"> et la </w:t>
      </w:r>
      <w:r w:rsidDel="00000000" w:rsidR="00000000" w:rsidRPr="00000000">
        <w:rPr>
          <w:b w:val="1"/>
          <w:bCs w:val="1"/>
          <w:rtl w:val="0"/>
        </w:rPr>
        <w:t xml:space="preserve">Nastapoka</w:t>
      </w:r>
      <w:r w:rsidDel="00000000" w:rsidR="00000000" w:rsidRPr="00000000">
        <w:rPr>
          <w:rtl w:val="0"/>
        </w:rPr>
        <w:t xml:space="preserve"> doivent surtout être lues comme des </w:t>
      </w:r>
      <w:r w:rsidDel="00000000" w:rsidR="00000000" w:rsidRPr="00000000">
        <w:rPr>
          <w:b w:val="1"/>
          <w:bCs w:val="1"/>
          <w:rtl w:val="0"/>
        </w:rPr>
        <w:t xml:space="preserve">satellites du vieux dossier Grande‑Baleine</w:t>
      </w:r>
      <w:r w:rsidDel="00000000" w:rsidR="00000000" w:rsidRPr="00000000">
        <w:rPr>
          <w:rtl w:val="0"/>
        </w:rPr>
        <w:t xml:space="preserve">. Pour la Petite rivière, on trouve un bon socle hydrologique officiel, mais le MW publié est surtout un </w:t>
      </w:r>
      <w:r w:rsidDel="00000000" w:rsidR="00000000" w:rsidRPr="00000000">
        <w:rPr>
          <w:b w:val="1"/>
          <w:bCs w:val="1"/>
          <w:rtl w:val="0"/>
        </w:rPr>
        <w:t xml:space="preserve">estimé secondaire</w:t>
      </w:r>
      <w:r w:rsidDel="00000000" w:rsidR="00000000" w:rsidRPr="00000000">
        <w:rPr>
          <w:rtl w:val="0"/>
        </w:rPr>
        <w:t xml:space="preserve">. Pour la Nastapoka, Hydro‑Québec a déjà jugé, au début des années 2000, qu’un projet d’environ </w:t>
      </w:r>
      <w:r w:rsidDel="00000000" w:rsidR="00000000" w:rsidRPr="00000000">
        <w:rPr>
          <w:b w:val="1"/>
          <w:bCs w:val="1"/>
          <w:rtl w:val="0"/>
        </w:rPr>
        <w:t xml:space="preserve">500 MW</w:t>
      </w:r>
      <w:r w:rsidDel="00000000" w:rsidR="00000000" w:rsidRPr="00000000">
        <w:rPr>
          <w:rtl w:val="0"/>
        </w:rPr>
        <w:t xml:space="preserve"> avait une rentabilité </w:t>
      </w:r>
      <w:r w:rsidDel="00000000" w:rsidR="00000000" w:rsidRPr="00000000">
        <w:rPr>
          <w:b w:val="1"/>
          <w:bCs w:val="1"/>
          <w:rtl w:val="0"/>
        </w:rPr>
        <w:t xml:space="preserve">marginale</w:t>
      </w:r>
      <w:r w:rsidDel="00000000" w:rsidR="00000000" w:rsidRPr="00000000">
        <w:rPr>
          <w:rtl w:val="0"/>
        </w:rPr>
        <w:t xml:space="preserve"> et pouvait seulement devenir logique en parallèle d’un aménagement plus large de la Grande rivière de la Baleine. La Nastapoka a en outre une contrainte supplémentaire très forte : sa proximité du parc national Tursujuq, des estuaires à bélugas et de la zone des phoques des lacs des Loups Marins. citeturn1search48turn1search0turn21search0turn0search37turn7search2turn7search4</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w:t>
      </w:r>
      <w:r w:rsidDel="00000000" w:rsidR="00000000" w:rsidRPr="00000000">
        <w:rPr>
          <w:b w:val="1"/>
          <w:bCs w:val="1"/>
          <w:rtl w:val="0"/>
        </w:rPr>
        <w:t xml:space="preserve">Innuksuac</w:t>
      </w:r>
      <w:r w:rsidDel="00000000" w:rsidR="00000000" w:rsidRPr="00000000">
        <w:rPr>
          <w:rtl w:val="0"/>
        </w:rPr>
        <w:t xml:space="preserve"> change complètement d’échelle. Ici, le cas public le plus solide n’est pas un mégaprojet d’exportation, mais </w:t>
      </w:r>
      <w:r w:rsidDel="00000000" w:rsidR="00000000" w:rsidRPr="00000000">
        <w:rPr>
          <w:b w:val="1"/>
          <w:bCs w:val="1"/>
          <w:rtl w:val="0"/>
        </w:rPr>
        <w:t xml:space="preserve">Innavik</w:t>
      </w:r>
      <w:r w:rsidDel="00000000" w:rsidR="00000000" w:rsidRPr="00000000">
        <w:rPr>
          <w:rtl w:val="0"/>
        </w:rPr>
        <w:t xml:space="preserve">, soit </w:t>
      </w:r>
      <w:r w:rsidDel="00000000" w:rsidR="00000000" w:rsidRPr="00000000">
        <w:rPr>
          <w:b w:val="1"/>
          <w:bCs w:val="1"/>
          <w:rtl w:val="0"/>
        </w:rPr>
        <w:t xml:space="preserve">7,5 MW</w:t>
      </w:r>
      <w:r w:rsidDel="00000000" w:rsidR="00000000" w:rsidRPr="00000000">
        <w:rPr>
          <w:rtl w:val="0"/>
        </w:rPr>
        <w:t xml:space="preserve"> au fil de l’eau sur des terres de catégorie I près d’Inukjuak. Le message analytique est important : l’Innuksuac est probablement beaucoup plus crédible comme </w:t>
      </w:r>
      <w:r w:rsidDel="00000000" w:rsidR="00000000" w:rsidRPr="00000000">
        <w:rPr>
          <w:b w:val="1"/>
          <w:bCs w:val="1"/>
          <w:rtl w:val="0"/>
        </w:rPr>
        <w:t xml:space="preserve">substitution au diesel</w:t>
      </w:r>
      <w:r w:rsidDel="00000000" w:rsidR="00000000" w:rsidRPr="00000000">
        <w:rPr>
          <w:rtl w:val="0"/>
        </w:rPr>
        <w:t xml:space="preserve"> et comme projet communautaire que comme point d’ancrage d’une longue ligne d’exportation depuis La Grande. Une interconnexion au réseau principal nécessiterait des centaines de kilomètres de ligne pour un site dont le projet public connu est de petite taille. citeturn22search6turn22search2turn22search0turn8search0turn12search1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La </w:t>
      </w:r>
      <w:r w:rsidDel="00000000" w:rsidR="00000000" w:rsidRPr="00000000">
        <w:rPr>
          <w:b w:val="1"/>
          <w:bCs w:val="1"/>
          <w:rtl w:val="0"/>
        </w:rPr>
        <w:t xml:space="preserve">rivière de Puvirnituq</w:t>
      </w:r>
      <w:r w:rsidDel="00000000" w:rsidR="00000000" w:rsidRPr="00000000">
        <w:rPr>
          <w:rtl w:val="0"/>
        </w:rPr>
        <w:t xml:space="preserve"> et la </w:t>
      </w:r>
      <w:r w:rsidDel="00000000" w:rsidR="00000000" w:rsidRPr="00000000">
        <w:rPr>
          <w:b w:val="1"/>
          <w:bCs w:val="1"/>
          <w:rtl w:val="0"/>
        </w:rPr>
        <w:t xml:space="preserve">Kovik</w:t>
      </w:r>
      <w:r w:rsidDel="00000000" w:rsidR="00000000" w:rsidRPr="00000000">
        <w:rPr>
          <w:rtl w:val="0"/>
        </w:rPr>
        <w:t xml:space="preserve"> tombent, à ce stade, dans une catégorie de </w:t>
      </w:r>
      <w:r w:rsidDel="00000000" w:rsidR="00000000" w:rsidRPr="00000000">
        <w:rPr>
          <w:b w:val="1"/>
          <w:bCs w:val="1"/>
          <w:rtl w:val="0"/>
        </w:rPr>
        <w:t xml:space="preserve">faible maturité publique</w:t>
      </w:r>
      <w:r w:rsidDel="00000000" w:rsidR="00000000" w:rsidRPr="00000000">
        <w:rPr>
          <w:rtl w:val="0"/>
        </w:rPr>
        <w:t xml:space="preserve"> pour un schéma de raccordement au réseau principal. Pour Puvirnituq, la communauté est grande, l’embouchure est bien localisée, mais je n’ai pas trouvé de publication officielle robuste donnant un potentiel MW comparable aux grands dossiers historiques. Pour Kovik, la contrainte est encore plus nette : la rivière se trouve dans une </w:t>
      </w:r>
      <w:r w:rsidDel="00000000" w:rsidR="00000000" w:rsidRPr="00000000">
        <w:rPr>
          <w:b w:val="1"/>
          <w:bCs w:val="1"/>
          <w:rtl w:val="0"/>
        </w:rPr>
        <w:t xml:space="preserve">aire protégée/projet d’aire aquatique</w:t>
      </w:r>
      <w:r w:rsidDel="00000000" w:rsidR="00000000" w:rsidRPr="00000000">
        <w:rPr>
          <w:rtl w:val="0"/>
        </w:rPr>
        <w:t xml:space="preserve"> de très grande valeur écologique, avec objectif explicite de protection de l’omble chevalier, et les données hydrologiques/énergétiques publiques sont nettement plus minces. Dans les deux cas, les distances de ligne au réseau principal sont si grandes qu’un projet n’aurait de sens qu’avec une justification exceptionnelle. citeturn28search0turn6search1turn7search3turn23search2turn34search21</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Les rivières contextuelles </w:t>
      </w:r>
      <w:r w:rsidDel="00000000" w:rsidR="00000000" w:rsidRPr="00000000">
        <w:rPr>
          <w:b w:val="1"/>
          <w:bCs w:val="1"/>
          <w:rtl w:val="0"/>
        </w:rPr>
        <w:t xml:space="preserve">Caniapiscau</w:t>
      </w:r>
      <w:r w:rsidDel="00000000" w:rsidR="00000000" w:rsidRPr="00000000">
        <w:rPr>
          <w:rtl w:val="0"/>
        </w:rPr>
        <w:t xml:space="preserve">, </w:t>
      </w:r>
      <w:r w:rsidDel="00000000" w:rsidR="00000000" w:rsidRPr="00000000">
        <w:rPr>
          <w:b w:val="1"/>
          <w:bCs w:val="1"/>
          <w:rtl w:val="0"/>
        </w:rPr>
        <w:t xml:space="preserve">George</w:t>
      </w:r>
      <w:r w:rsidDel="00000000" w:rsidR="00000000" w:rsidRPr="00000000">
        <w:rPr>
          <w:rtl w:val="0"/>
        </w:rPr>
        <w:t xml:space="preserve">, </w:t>
      </w:r>
      <w:r w:rsidDel="00000000" w:rsidR="00000000" w:rsidRPr="00000000">
        <w:rPr>
          <w:b w:val="1"/>
          <w:bCs w:val="1"/>
          <w:rtl w:val="0"/>
        </w:rPr>
        <w:t xml:space="preserve">Aux Feuilles</w:t>
      </w:r>
      <w:r w:rsidDel="00000000" w:rsidR="00000000" w:rsidRPr="00000000">
        <w:rPr>
          <w:rtl w:val="0"/>
        </w:rPr>
        <w:t xml:space="preserve"> et </w:t>
      </w:r>
      <w:r w:rsidDel="00000000" w:rsidR="00000000" w:rsidRPr="00000000">
        <w:rPr>
          <w:b w:val="1"/>
          <w:bCs w:val="1"/>
          <w:rtl w:val="0"/>
        </w:rPr>
        <w:t xml:space="preserve">Aux Mélèzes</w:t>
      </w:r>
      <w:r w:rsidDel="00000000" w:rsidR="00000000" w:rsidRPr="00000000">
        <w:rPr>
          <w:rtl w:val="0"/>
        </w:rPr>
        <w:t xml:space="preserve"> servent surtout à cadrer le débat. La Caniapiscau et la George montrent qu’il existe bien, en théorie, des rivières nordiques à très fort potentiel historique — </w:t>
      </w:r>
      <w:r w:rsidDel="00000000" w:rsidR="00000000" w:rsidRPr="00000000">
        <w:rPr>
          <w:b w:val="1"/>
          <w:bCs w:val="1"/>
          <w:rtl w:val="0"/>
        </w:rPr>
        <w:t xml:space="preserve">~1 600 MW</w:t>
      </w:r>
      <w:r w:rsidDel="00000000" w:rsidR="00000000" w:rsidRPr="00000000">
        <w:rPr>
          <w:rtl w:val="0"/>
        </w:rPr>
        <w:t xml:space="preserve"> et </w:t>
      </w:r>
      <w:r w:rsidDel="00000000" w:rsidR="00000000" w:rsidRPr="00000000">
        <w:rPr>
          <w:b w:val="1"/>
          <w:bCs w:val="1"/>
          <w:rtl w:val="0"/>
        </w:rPr>
        <w:t xml:space="preserve">~3 100 MW</w:t>
      </w:r>
      <w:r w:rsidDel="00000000" w:rsidR="00000000" w:rsidRPr="00000000">
        <w:rPr>
          <w:rtl w:val="0"/>
        </w:rPr>
        <w:t xml:space="preserve"> dans les études Hydro‑Québec citées — mais elles sont soit déjà modifiées hydrologiquement par les grands aménagements existants, soit beaucoup trop éloignées pour un prolongement léger du réseau. Aux Feuilles et Aux Mélèzes ont des débits impressionnants, mais elles ne sont pas des « rivières de la côte ouest » au sens strict et ne sont donc utiles ici qu’en comparaison hydrologique et territoriale. citeturn1search48turn21search0turn30search0turn30search1turn31search0turn30search2</w:t>
      </w:r>
    </w:p>
    <w:p w:rsidR="00000000" w:rsidDel="00000000" w:rsidP="00000000" w:rsidRDefault="00000000" w:rsidRPr="00000000" w14:paraId="0000006E">
      <w:pPr>
        <w:pStyle w:val="Heading2"/>
        <w:rPr/>
      </w:pPr>
      <w:bookmarkStart w:colFirst="0" w:colLast="0" w:name="_h36xtjoovm06" w:id="5"/>
      <w:bookmarkEnd w:id="5"/>
      <w:r w:rsidDel="00000000" w:rsidR="00000000" w:rsidRPr="00000000">
        <w:rPr>
          <w:rtl w:val="0"/>
        </w:rPr>
        <w:t xml:space="preserve">Contraintes territoriales et environnementales</w:t>
      </w:r>
    </w:p>
    <w:p w:rsidR="00000000" w:rsidDel="00000000" w:rsidP="00000000" w:rsidRDefault="00000000" w:rsidRPr="00000000" w14:paraId="0000006F">
      <w:pPr>
        <w:rPr/>
      </w:pPr>
      <w:r w:rsidDel="00000000" w:rsidR="00000000" w:rsidRPr="00000000">
        <w:rPr>
          <w:rtl w:val="0"/>
        </w:rPr>
        <w:t xml:space="preserve">Au nord du 55e parallèle, il ne faut jamais lire ces rivières comme de simples objets hydrauliques. Le territoire est structuré par la </w:t>
      </w:r>
      <w:r w:rsidDel="00000000" w:rsidR="00000000" w:rsidRPr="00000000">
        <w:rPr>
          <w:b w:val="1"/>
          <w:bCs w:val="1"/>
          <w:rtl w:val="0"/>
        </w:rPr>
        <w:t xml:space="preserve">Convention de la Baie James et du Nord québécois</w:t>
      </w:r>
      <w:r w:rsidDel="00000000" w:rsidR="00000000" w:rsidRPr="00000000">
        <w:rPr>
          <w:rtl w:val="0"/>
        </w:rPr>
        <w:t xml:space="preserve">, par les catégories I, II et III, et par des processus d’évaluation environnementale et sociale spécifiques. Le </w:t>
      </w:r>
      <w:r w:rsidDel="00000000" w:rsidR="00000000" w:rsidRPr="00000000">
        <w:rPr>
          <w:b w:val="1"/>
          <w:bCs w:val="1"/>
          <w:rtl w:val="0"/>
        </w:rPr>
        <w:t xml:space="preserve">Kativik Regional Government</w:t>
      </w:r>
      <w:r w:rsidDel="00000000" w:rsidR="00000000" w:rsidRPr="00000000">
        <w:rPr>
          <w:rtl w:val="0"/>
        </w:rPr>
        <w:t xml:space="preserve"> rappelle explicitement que ces catégories foncières, les droits de chasse/pêche/piégeage et les mécanismes d’examen environnemental font partie intégrante de toute planification au Nunavik. L’Accord Sanarrutik prévoyait lui-même que tout projet hydroélectrique au Nunavik devait être évalué, divulgué et discuté avec les communautés concernées. citeturn5search27turn5search29turn5search26</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Le cas le plus contraignant, dans votre liste, est la </w:t>
      </w:r>
      <w:r w:rsidDel="00000000" w:rsidR="00000000" w:rsidRPr="00000000">
        <w:rPr>
          <w:b w:val="1"/>
          <w:bCs w:val="1"/>
          <w:rtl w:val="0"/>
        </w:rPr>
        <w:t xml:space="preserve">Kovik</w:t>
      </w:r>
      <w:r w:rsidDel="00000000" w:rsidR="00000000" w:rsidRPr="00000000">
        <w:rPr>
          <w:rtl w:val="0"/>
        </w:rPr>
        <w:t xml:space="preserve">. La page officielle de l’aire protégée du secteur parle d’une </w:t>
      </w:r>
      <w:r w:rsidDel="00000000" w:rsidR="00000000" w:rsidRPr="00000000">
        <w:rPr>
          <w:b w:val="1"/>
          <w:bCs w:val="1"/>
          <w:rtl w:val="0"/>
        </w:rPr>
        <w:t xml:space="preserve">réserve aquatique proposée</w:t>
      </w:r>
      <w:r w:rsidDel="00000000" w:rsidR="00000000" w:rsidRPr="00000000">
        <w:rPr>
          <w:rtl w:val="0"/>
        </w:rPr>
        <w:t xml:space="preserve"> de </w:t>
      </w:r>
      <w:r w:rsidDel="00000000" w:rsidR="00000000" w:rsidRPr="00000000">
        <w:rPr>
          <w:b w:val="1"/>
          <w:bCs w:val="1"/>
          <w:rtl w:val="0"/>
        </w:rPr>
        <w:t xml:space="preserve">4 651,2 km²</w:t>
      </w:r>
      <w:r w:rsidDel="00000000" w:rsidR="00000000" w:rsidRPr="00000000">
        <w:rPr>
          <w:rtl w:val="0"/>
        </w:rPr>
        <w:t xml:space="preserve">, en </w:t>
      </w:r>
      <w:r w:rsidDel="00000000" w:rsidR="00000000" w:rsidRPr="00000000">
        <w:rPr>
          <w:b w:val="1"/>
          <w:bCs w:val="1"/>
          <w:rtl w:val="0"/>
        </w:rPr>
        <w:t xml:space="preserve">catégorie II</w:t>
      </w:r>
      <w:r w:rsidDel="00000000" w:rsidR="00000000" w:rsidRPr="00000000">
        <w:rPr>
          <w:rtl w:val="0"/>
        </w:rPr>
        <w:t xml:space="preserve">, avec un objectif explicite de protection de la biodiversité et de l’omble chevalier. À l’opposé, l’</w:t>
      </w:r>
      <w:r w:rsidDel="00000000" w:rsidR="00000000" w:rsidRPr="00000000">
        <w:rPr>
          <w:b w:val="1"/>
          <w:bCs w:val="1"/>
          <w:rtl w:val="0"/>
        </w:rPr>
        <w:t xml:space="preserve">Innuksuac</w:t>
      </w:r>
      <w:r w:rsidDel="00000000" w:rsidR="00000000" w:rsidRPr="00000000">
        <w:rPr>
          <w:rtl w:val="0"/>
        </w:rPr>
        <w:t xml:space="preserve"> montre qu’un projet peut avancer lorsqu’il est arrimé à la communauté, à petite échelle, sur des terres bien identifiées et dans un cadre d’évaluation local clair. La </w:t>
      </w:r>
      <w:r w:rsidDel="00000000" w:rsidR="00000000" w:rsidRPr="00000000">
        <w:rPr>
          <w:b w:val="1"/>
          <w:bCs w:val="1"/>
          <w:rtl w:val="0"/>
        </w:rPr>
        <w:t xml:space="preserve">Nastapoka</w:t>
      </w:r>
      <w:r w:rsidDel="00000000" w:rsidR="00000000" w:rsidRPr="00000000">
        <w:rPr>
          <w:rtl w:val="0"/>
        </w:rPr>
        <w:t xml:space="preserve"> est elle aussi très contrainte par la proximité de Tursujuq, des cuestas hudsoniennes et des habitats sensibles. citeturn7search3turn22search6turn7search2turn7search4</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Même là où aucun statut de protection formel n’a été trouvé pour l’embouchure elle-même, il faut présumer des contraintes fortes : importance des estuaires pour les mammifères marins, usages de subsistance, sites archéologiques et cabanes, ainsi que vulnérabilité des sols/pergélisols. Les documents publics sur le Nord canadien rappellent aussi que l’éloignement, la saison de navigation courte, les matériaux livrés par fenêtres saisonnières et les fondations sur sols difficiles augmentent mécaniquement le risque de dérive des coûts. citeturn7search41turn20search42turn20search4</w:t>
      </w:r>
    </w:p>
    <w:p w:rsidR="00000000" w:rsidDel="00000000" w:rsidP="00000000" w:rsidRDefault="00000000" w:rsidRPr="00000000" w14:paraId="00000074">
      <w:pPr>
        <w:pStyle w:val="Heading2"/>
        <w:rPr/>
      </w:pPr>
      <w:bookmarkStart w:colFirst="0" w:colLast="0" w:name="_foo9cpl5etc4" w:id="6"/>
      <w:bookmarkEnd w:id="6"/>
      <w:r w:rsidDel="00000000" w:rsidR="00000000" w:rsidRPr="00000000">
        <w:rPr>
          <w:rtl w:val="0"/>
        </w:rPr>
        <w:t xml:space="preserve">Recommandations et prochaines étapes</w:t>
      </w:r>
    </w:p>
    <w:p w:rsidR="00000000" w:rsidDel="00000000" w:rsidP="00000000" w:rsidRDefault="00000000" w:rsidRPr="00000000" w14:paraId="00000075">
      <w:pPr>
        <w:rPr/>
      </w:pPr>
      <w:r w:rsidDel="00000000" w:rsidR="00000000" w:rsidRPr="00000000">
        <w:rPr>
          <w:rtl w:val="0"/>
        </w:rPr>
        <w:t xml:space="preserve">La première recommandation est de </w:t>
      </w:r>
      <w:r w:rsidDel="00000000" w:rsidR="00000000" w:rsidRPr="00000000">
        <w:rPr>
          <w:b w:val="1"/>
          <w:bCs w:val="1"/>
          <w:rtl w:val="0"/>
        </w:rPr>
        <w:t xml:space="preserve">séparer clairement deux logiques</w:t>
      </w:r>
      <w:r w:rsidDel="00000000" w:rsidR="00000000" w:rsidRPr="00000000">
        <w:rPr>
          <w:rtl w:val="0"/>
        </w:rPr>
        <w:t xml:space="preserve">. Si la cible est un </w:t>
      </w:r>
      <w:r w:rsidDel="00000000" w:rsidR="00000000" w:rsidRPr="00000000">
        <w:rPr>
          <w:b w:val="1"/>
          <w:bCs w:val="1"/>
          <w:rtl w:val="0"/>
        </w:rPr>
        <w:t xml:space="preserve">grand projet d’exportation</w:t>
      </w:r>
      <w:r w:rsidDel="00000000" w:rsidR="00000000" w:rsidRPr="00000000">
        <w:rPr>
          <w:rtl w:val="0"/>
        </w:rPr>
        <w:t xml:space="preserve"> branché au réseau principal, la short‑list réaliste est probablement limitée à </w:t>
      </w:r>
      <w:r w:rsidDel="00000000" w:rsidR="00000000" w:rsidRPr="00000000">
        <w:rPr>
          <w:b w:val="1"/>
          <w:bCs w:val="1"/>
          <w:rtl w:val="0"/>
        </w:rPr>
        <w:t xml:space="preserve">Grande rivière de la Baleine</w:t>
      </w:r>
      <w:r w:rsidDel="00000000" w:rsidR="00000000" w:rsidRPr="00000000">
        <w:rPr>
          <w:rtl w:val="0"/>
        </w:rPr>
        <w:t xml:space="preserve">, avec </w:t>
      </w:r>
      <w:r w:rsidDel="00000000" w:rsidR="00000000" w:rsidRPr="00000000">
        <w:rPr>
          <w:b w:val="1"/>
          <w:bCs w:val="1"/>
          <w:rtl w:val="0"/>
        </w:rPr>
        <w:t xml:space="preserve">Petite rivière de la Baleine</w:t>
      </w:r>
      <w:r w:rsidDel="00000000" w:rsidR="00000000" w:rsidRPr="00000000">
        <w:rPr>
          <w:rtl w:val="0"/>
        </w:rPr>
        <w:t xml:space="preserve"> et </w:t>
      </w:r>
      <w:r w:rsidDel="00000000" w:rsidR="00000000" w:rsidRPr="00000000">
        <w:rPr>
          <w:b w:val="1"/>
          <w:bCs w:val="1"/>
          <w:rtl w:val="0"/>
        </w:rPr>
        <w:t xml:space="preserve">Nastapoka</w:t>
      </w:r>
      <w:r w:rsidDel="00000000" w:rsidR="00000000" w:rsidRPr="00000000">
        <w:rPr>
          <w:rtl w:val="0"/>
        </w:rPr>
        <w:t xml:space="preserve"> comme prolongements historiques possibles. Si la cible est la </w:t>
      </w:r>
      <w:r w:rsidDel="00000000" w:rsidR="00000000" w:rsidRPr="00000000">
        <w:rPr>
          <w:b w:val="1"/>
          <w:bCs w:val="1"/>
          <w:rtl w:val="0"/>
        </w:rPr>
        <w:t xml:space="preserve">décarbonation locale</w:t>
      </w:r>
      <w:r w:rsidDel="00000000" w:rsidR="00000000" w:rsidRPr="00000000">
        <w:rPr>
          <w:rtl w:val="0"/>
        </w:rPr>
        <w:t xml:space="preserve"> des villages nordiques, alors l’axe le plus crédible n’est pas une très longue ligne depuis La Grande, mais des projets </w:t>
      </w:r>
      <w:r w:rsidDel="00000000" w:rsidR="00000000" w:rsidRPr="00000000">
        <w:rPr>
          <w:b w:val="1"/>
          <w:bCs w:val="1"/>
          <w:rtl w:val="0"/>
        </w:rPr>
        <w:t xml:space="preserve">communautaires et autonomes</w:t>
      </w:r>
      <w:r w:rsidDel="00000000" w:rsidR="00000000" w:rsidRPr="00000000">
        <w:rPr>
          <w:rtl w:val="0"/>
        </w:rPr>
        <w:t xml:space="preserve">, de taille proche d’Innavik, adossés directement aux villages. citeturn4search26turn1search48turn22search6turn22search2</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La deuxième recommandation est de lancer, avant toute ambition mégawatt, un </w:t>
      </w:r>
      <w:r w:rsidDel="00000000" w:rsidR="00000000" w:rsidRPr="00000000">
        <w:rPr>
          <w:b w:val="1"/>
          <w:bCs w:val="1"/>
          <w:rtl w:val="0"/>
        </w:rPr>
        <w:t xml:space="preserve">paquet de données minimales homogènes</w:t>
      </w:r>
      <w:r w:rsidDel="00000000" w:rsidR="00000000" w:rsidRPr="00000000">
        <w:rPr>
          <w:rtl w:val="0"/>
        </w:rPr>
        <w:t xml:space="preserve"> : coordonnées d’embouchure validées en SIG, station hydrométrique de référence, série de débits journaliers, indicateurs d’étiage/plein débit, bathymétrie locale, géotechnique de corridor, et pré-cartographie des terres de catégories I/II/III, aires protégées, campements et usages de subsistance. Aujourd’hui, la faiblesse publique des données est suffisamment marquée pour </w:t>
      </w:r>
      <w:r w:rsidDel="00000000" w:rsidR="00000000" w:rsidRPr="00000000">
        <w:rPr>
          <w:b w:val="1"/>
          <w:bCs w:val="1"/>
          <w:rtl w:val="0"/>
        </w:rPr>
        <w:t xml:space="preserve">Puvirnituq</w:t>
      </w:r>
      <w:r w:rsidDel="00000000" w:rsidR="00000000" w:rsidRPr="00000000">
        <w:rPr>
          <w:rtl w:val="0"/>
        </w:rPr>
        <w:t xml:space="preserve"> et surtout </w:t>
      </w:r>
      <w:r w:rsidDel="00000000" w:rsidR="00000000" w:rsidRPr="00000000">
        <w:rPr>
          <w:b w:val="1"/>
          <w:bCs w:val="1"/>
          <w:rtl w:val="0"/>
        </w:rPr>
        <w:t xml:space="preserve">Kovik</w:t>
      </w:r>
      <w:r w:rsidDel="00000000" w:rsidR="00000000" w:rsidRPr="00000000">
        <w:rPr>
          <w:rtl w:val="0"/>
        </w:rPr>
        <w:t xml:space="preserve"> qu’il serait prématuré de parler sérieusement de MW exportables. citeturn8search0turn12search1turn7search3turn5search29</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La troisième recommandation est financière : traiter toutes les rivières </w:t>
      </w:r>
      <w:r w:rsidDel="00000000" w:rsidR="00000000" w:rsidRPr="00000000">
        <w:rPr>
          <w:b w:val="1"/>
          <w:bCs w:val="1"/>
          <w:rtl w:val="0"/>
        </w:rPr>
        <w:t xml:space="preserve">au-delà d’Innuksuac</w:t>
      </w:r>
      <w:r w:rsidDel="00000000" w:rsidR="00000000" w:rsidRPr="00000000">
        <w:rPr>
          <w:rtl w:val="0"/>
        </w:rPr>
        <w:t xml:space="preserve"> comme des cas où la </w:t>
      </w:r>
      <w:r w:rsidDel="00000000" w:rsidR="00000000" w:rsidRPr="00000000">
        <w:rPr>
          <w:b w:val="1"/>
          <w:bCs w:val="1"/>
          <w:rtl w:val="0"/>
        </w:rPr>
        <w:t xml:space="preserve">ligne seule</w:t>
      </w:r>
      <w:r w:rsidDel="00000000" w:rsidR="00000000" w:rsidRPr="00000000">
        <w:rPr>
          <w:rtl w:val="0"/>
        </w:rPr>
        <w:t xml:space="preserve"> peut devenir l’élément prohibitivement coûteux. Dans un tel cadre, une étude technico-économique crédible doit toujours comparer au moins trois scénarios : </w:t>
      </w:r>
      <w:r w:rsidDel="00000000" w:rsidR="00000000" w:rsidRPr="00000000">
        <w:rPr>
          <w:b w:val="1"/>
          <w:bCs w:val="1"/>
          <w:rtl w:val="0"/>
        </w:rPr>
        <w:t xml:space="preserve">micro-réseau local</w:t>
      </w:r>
      <w:r w:rsidDel="00000000" w:rsidR="00000000" w:rsidRPr="00000000">
        <w:rPr>
          <w:rtl w:val="0"/>
        </w:rPr>
        <w:t xml:space="preserve">, </w:t>
      </w:r>
      <w:r w:rsidDel="00000000" w:rsidR="00000000" w:rsidRPr="00000000">
        <w:rPr>
          <w:b w:val="1"/>
          <w:bCs w:val="1"/>
          <w:rtl w:val="0"/>
        </w:rPr>
        <w:t xml:space="preserve">raccordement régional partiel</w:t>
      </w:r>
      <w:r w:rsidDel="00000000" w:rsidR="00000000" w:rsidRPr="00000000">
        <w:rPr>
          <w:rtl w:val="0"/>
        </w:rPr>
        <w:t xml:space="preserve">, et </w:t>
      </w:r>
      <w:r w:rsidDel="00000000" w:rsidR="00000000" w:rsidRPr="00000000">
        <w:rPr>
          <w:b w:val="1"/>
          <w:bCs w:val="1"/>
          <w:rtl w:val="0"/>
        </w:rPr>
        <w:t xml:space="preserve">raccordement au réseau principal</w:t>
      </w:r>
      <w:r w:rsidDel="00000000" w:rsidR="00000000" w:rsidRPr="00000000">
        <w:rPr>
          <w:rtl w:val="0"/>
        </w:rPr>
        <w:t xml:space="preserve">. Sans ce trépied comparatif, un chiffre de MW brut est trompeur.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flowchart TD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A[Confirmer l'objectif] --&gt; B{Exportation ou énergie locale}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B --&gt;|Exportation| C[Précriblage Grande Baleine / Petite Baleine / Nastapoka]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B --&gt;|Énergie locale| D[Précriblage Innuksuac / Puvirnituq]</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 --&gt; E[Hydrologie homogène et SIG de corridor]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D --&gt; 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E --&gt; F[Cartographie droits autochtones et aires protégées]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F --&gt; G[Consultation précoce communautés et organismes régionaux]</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G --&gt; H[Étude tracé ligne routes accès géotechnique]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H --&gt; I[Estimation coûts classe 4 et options 230 315 735 kV]</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I --&gt; J[Décision go/no-go]</w:t>
      </w:r>
    </w:p>
    <w:p w:rsidR="00000000" w:rsidDel="00000000" w:rsidP="00000000" w:rsidRDefault="00000000" w:rsidRPr="00000000" w14:paraId="00000090">
      <w:pPr>
        <w:pStyle w:val="Heading2"/>
        <w:rPr/>
      </w:pPr>
      <w:bookmarkStart w:colFirst="0" w:colLast="0" w:name="_wc7tjhebwzuc" w:id="7"/>
      <w:bookmarkEnd w:id="7"/>
      <w:r w:rsidDel="00000000" w:rsidR="00000000" w:rsidRPr="00000000">
        <w:rPr>
          <w:rtl w:val="0"/>
        </w:rPr>
        <w:t xml:space="preserve">Questions ouvertes et limites</w:t>
      </w:r>
    </w:p>
    <w:p w:rsidR="00000000" w:rsidDel="00000000" w:rsidP="00000000" w:rsidRDefault="00000000" w:rsidRPr="00000000" w14:paraId="00000091">
      <w:pPr>
        <w:rPr/>
      </w:pPr>
      <w:r w:rsidDel="00000000" w:rsidR="00000000" w:rsidRPr="00000000">
        <w:rPr>
          <w:rtl w:val="0"/>
        </w:rPr>
        <w:t xml:space="preserve">Plusieurs limites doivent être gardées visibles. Pour </w:t>
      </w:r>
      <w:r w:rsidDel="00000000" w:rsidR="00000000" w:rsidRPr="00000000">
        <w:rPr>
          <w:b w:val="1"/>
          <w:bCs w:val="1"/>
          <w:rtl w:val="0"/>
        </w:rPr>
        <w:t xml:space="preserve">Innuksuac</w:t>
      </w:r>
      <w:r w:rsidDel="00000000" w:rsidR="00000000" w:rsidRPr="00000000">
        <w:rPr>
          <w:rtl w:val="0"/>
        </w:rPr>
        <w:t xml:space="preserve">, </w:t>
      </w:r>
      <w:r w:rsidDel="00000000" w:rsidR="00000000" w:rsidRPr="00000000">
        <w:rPr>
          <w:b w:val="1"/>
          <w:bCs w:val="1"/>
          <w:rtl w:val="0"/>
        </w:rPr>
        <w:t xml:space="preserve">Puvirnituq</w:t>
      </w:r>
      <w:r w:rsidDel="00000000" w:rsidR="00000000" w:rsidRPr="00000000">
        <w:rPr>
          <w:rtl w:val="0"/>
        </w:rPr>
        <w:t xml:space="preserve"> et </w:t>
      </w:r>
      <w:r w:rsidDel="00000000" w:rsidR="00000000" w:rsidRPr="00000000">
        <w:rPr>
          <w:b w:val="1"/>
          <w:bCs w:val="1"/>
          <w:rtl w:val="0"/>
        </w:rPr>
        <w:t xml:space="preserve">Kovik</w:t>
      </w:r>
      <w:r w:rsidDel="00000000" w:rsidR="00000000" w:rsidRPr="00000000">
        <w:rPr>
          <w:rtl w:val="0"/>
        </w:rPr>
        <w:t xml:space="preserve">, les données publiques de potentiel hydroélectrique restent incomplètes; pour </w:t>
      </w:r>
      <w:r w:rsidDel="00000000" w:rsidR="00000000" w:rsidRPr="00000000">
        <w:rPr>
          <w:b w:val="1"/>
          <w:bCs w:val="1"/>
          <w:rtl w:val="0"/>
        </w:rPr>
        <w:t xml:space="preserve">Petite rivière de la Baleine</w:t>
      </w:r>
      <w:r w:rsidDel="00000000" w:rsidR="00000000" w:rsidRPr="00000000">
        <w:rPr>
          <w:rtl w:val="0"/>
        </w:rPr>
        <w:t xml:space="preserve">, </w:t>
      </w:r>
      <w:r w:rsidDel="00000000" w:rsidR="00000000" w:rsidRPr="00000000">
        <w:rPr>
          <w:b w:val="1"/>
          <w:bCs w:val="1"/>
          <w:rtl w:val="0"/>
        </w:rPr>
        <w:t xml:space="preserve">Aux Feuilles</w:t>
      </w:r>
      <w:r w:rsidDel="00000000" w:rsidR="00000000" w:rsidRPr="00000000">
        <w:rPr>
          <w:rtl w:val="0"/>
        </w:rPr>
        <w:t xml:space="preserve"> et certains autres cas, les valeurs de débit moyen et d’étiage ne proviennent pas toujours de la même station ni de la même période; et pour les entrées contextuelles de l’</w:t>
      </w:r>
      <w:r w:rsidDel="00000000" w:rsidR="00000000" w:rsidRPr="00000000">
        <w:rPr>
          <w:b w:val="1"/>
          <w:bCs w:val="1"/>
          <w:rtl w:val="0"/>
        </w:rPr>
        <w:t xml:space="preserve">est/Nunavik‑Ungava</w:t>
      </w:r>
      <w:r w:rsidDel="00000000" w:rsidR="00000000" w:rsidRPr="00000000">
        <w:rPr>
          <w:rtl w:val="0"/>
        </w:rPr>
        <w:t xml:space="preserve">, la comparaison avec le </w:t>
      </w:r>
      <w:r w:rsidDel="00000000" w:rsidR="00000000" w:rsidRPr="00000000">
        <w:rPr>
          <w:b w:val="1"/>
          <w:bCs w:val="1"/>
          <w:rtl w:val="0"/>
        </w:rPr>
        <w:t xml:space="preserve">littoral ouest</w:t>
      </w:r>
      <w:r w:rsidDel="00000000" w:rsidR="00000000" w:rsidRPr="00000000">
        <w:rPr>
          <w:rtl w:val="0"/>
        </w:rPr>
        <w:t xml:space="preserve"> est utile mais imparfaite. Là où je n’ai pas trouvé de donnée publique suffisamment solide, je l’ai laissé explicitement comme </w:t>
      </w:r>
      <w:r w:rsidDel="00000000" w:rsidR="00000000" w:rsidRPr="00000000">
        <w:rPr>
          <w:b w:val="1"/>
          <w:bCs w:val="1"/>
          <w:rtl w:val="0"/>
        </w:rPr>
        <w:t xml:space="preserve">« non publié / non trouvé »</w:t>
      </w: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InterMedium-italic.ttf"/><Relationship Id="rId10" Type="http://schemas.openxmlformats.org/officeDocument/2006/relationships/font" Target="fonts/InterMedium-bold.ttf"/><Relationship Id="rId12" Type="http://schemas.openxmlformats.org/officeDocument/2006/relationships/font" Target="fonts/InterMedium-boldItalic.ttf"/><Relationship Id="rId9" Type="http://schemas.openxmlformats.org/officeDocument/2006/relationships/font" Target="fonts/InterMedium-regular.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