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Survives the Transfer?</w:t>
      </w:r>
    </w:p>
    <w:p>
      <w:pPr>
        <w:pStyle w:val="CustomSubtitle"/>
      </w:pPr>
      <w:r>
        <w:t>300-word pitch · Articulation and scientific capability along China’s Science Silk Road</w:t>
      </w:r>
    </w:p>
    <w:p>
      <w:pPr>
        <w:pStyle w:val="Byline"/>
      </w:pPr>
      <w:r>
        <w:t>Réjean McCormick · publication name of François Jourdain</w:t>
      </w:r>
    </w:p>
    <w:p>
      <w:pPr>
        <w:pStyle w:val="Meta"/>
      </w:pPr>
      <w:r>
        <w:t>St-Joseph-de-Beauce, Québec, Canada · rejean.mccormick@initkoa.org</w:t>
      </w:r>
    </w:p>
    <w:p>
      <w:pPr>
        <w:pStyle w:val="Meta"/>
      </w:pPr>
      <w:r>
        <w:t>Word count: 253 words (body only)</w:t>
      </w:r>
    </w:p>
    <w:p>
      <w:pPr>
        <w:spacing w:before="100" w:after="160"/>
        <w:pBdr>
          <w:bottom w:val="single" w:sz="12" w:space="4" w:color="1E6864"/>
        </w:pBdr>
      </w:pPr>
    </w:p>
    <w:tbl>
      <w:tblPr>
        <w:tblW w:type="auto" w:w="0"/>
        <w:tblLayout w:type="autofit"/>
        <w:tblLook w:firstColumn="1" w:firstRow="1" w:lastColumn="0" w:lastRow="0" w:noHBand="0" w:noVBand="1" w:val="04A0"/>
      </w:tblPr>
      <w:tblGrid>
        <w:gridCol w:w="9802"/>
      </w:tblGrid>
      <w:tr>
        <w:tc>
          <w:tcPr>
            <w:tcW w:type="dxa" w:w="9802"/>
            <w:shd w:fill="E8F1F0"/>
            <w:tcMar>
              <w:top w:w="120" w:type="dxa"/>
              <w:start w:w="180" w:type="dxa"/>
              <w:bottom w:w="120" w:type="dxa"/>
              <w:end w:w="180" w:type="dxa"/>
            </w:tcMar>
          </w:tcPr>
          <w:p>
            <w:pPr>
              <w:pStyle w:val="Label"/>
            </w:pPr>
            <w:r>
              <w:t>CORE INTERVENTION</w:t>
            </w:r>
          </w:p>
          <w:p>
            <w:pPr>
              <w:pStyle w:val="Callout"/>
            </w:pPr>
            <w:r>
              <w:t>Koali does not replace specialized systems; it addresses the fragmentation between them.</w:t>
            </w:r>
          </w:p>
        </w:tc>
      </w:tr>
    </w:tbl>
    <w:p>
      <w:pPr>
        <w:spacing w:after="0"/>
      </w:pPr>
    </w:p>
    <w:p>
      <w:pPr/>
      <w:r>
        <w:t>China’s Science Silk Road is often studied through what moves across borders: infrastructure, funding, data, expertise, standards, and knowledge. I propose a complementary problem: how heterogeneous scientific capabilities become composable without being absorbed into a single technical, institutional, or epistemic system.</w:t>
      </w:r>
    </w:p>
    <w:p>
      <w:pPr/>
      <w:r>
        <w:t>A laboratory may receive advanced equipment without gaining repair capacity. Researchers may be trained without becoming able to transmit mastery. Data may circulate while provenance, context, or interpretive authority weakens. These are not simply failures of “transfer.” They are failures at interfaces: points where knowledge, competence, evidence, authority, and infrastructure must change form while remaining usable.</w:t>
      </w:r>
    </w:p>
    <w:p>
      <w:pPr/>
      <w:r>
        <w:t>I call the resulting degradation conversion loss. The essay develops transition integrity as an analytical lens for tracing what remains intact across discovery, interpretation, validation, coordination, execution, memory, and capability reproduction. It also distinguishes capability gain from dependency reduction: scientific cooperation may strengthen local capability while increasing reliance on external software, equipment, standards, expertise, or funding.</w:t>
      </w:r>
    </w:p>
    <w:p>
      <w:pPr/>
      <w:r>
        <w:t>The framework emerged from Koali, a sociotechnical articulation architecture designed not to replace specialized institutions or tools, but to connect them while preserving provenance, scoped authority, semantic difference, institutional memory, and replaceability. Koali therefore competes less with existing systems than with the fragmentation between them.</w:t>
      </w:r>
    </w:p>
    <w:p>
      <w:pPr/>
      <w:r>
        <w:t>The essay will examine published Science Silk Road cases, institutional and technical documentation, policy materials, and scholarship on Chinese STI cooperation, technological capability, knowledge transfer, infrastructure, and science studies. Its contribution is to shift analysis from nodes and transfers toward the interfaces through which distributed scientific potential becomes—or fails to become—cumulative collective capability.</w:t>
      </w:r>
    </w:p>
    <w:p>
      <w:pPr>
        <w:pStyle w:val="Meta"/>
        <w:spacing w:before="100"/>
      </w:pPr>
      <w:r>
        <w:t>Prepared for the Global China Pulse call on China’s Science Silk Road and the New Geopolitics of Knowledge Production.</w:t>
      </w:r>
    </w:p>
    <w:sectPr w:rsidR="00FC693F" w:rsidRPr="0006063C" w:rsidSect="00034616">
      <w:headerReference w:type="default" r:id="rId9"/>
      <w:footerReference w:type="default" r:id="rId10"/>
      <w:pgSz w:w="12240" w:h="15840"/>
      <w:pgMar w:top="1020" w:right="1219" w:bottom="964" w:left="1219"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4706E"/>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B6CDCA"/>
      </w:pBdr>
    </w:pPr>
    <w:r>
      <w:rPr>
        <w:rFonts w:ascii="Inter" w:hAnsi="Inter"/>
        <w:b/>
        <w:color w:val="64706E"/>
        <w:sz w:val="14"/>
      </w:rPr>
      <w:t>300-WORD PITCH · ARTICULATION AND SCIENTIFIC CAPABILITY ALONG CHINA’S SCIENCE SILK ROAD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oto Serif" w:hAnsi="Noto Serif"/>
      <w:color w:val="1F25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Inter Display" w:hAnsi="Inter Display"/>
      <w:b/>
      <w:bCs/>
      <w:color w:val="1E6864"/>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Inter Display" w:hAnsi="Inter Display"/>
      <w:b/>
      <w:color w:val="1E686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Subtitle">
    <w:name w:val="Custom Subtitle"/>
    <w:pPr>
      <w:spacing w:after="200"/>
    </w:pPr>
    <w:rPr>
      <w:rFonts w:ascii="Inter Display" w:hAnsi="Inter Display"/>
      <w:color w:val="64706E"/>
      <w:sz w:val="24"/>
    </w:rPr>
  </w:style>
  <w:style w:type="paragraph" w:customStyle="1" w:styleId="Byline">
    <w:name w:val="Byline"/>
    <w:pPr>
      <w:spacing w:after="20"/>
    </w:pPr>
    <w:rPr>
      <w:rFonts w:ascii="Inter" w:hAnsi="Inter"/>
      <w:b/>
      <w:color w:val="1F2525"/>
      <w:sz w:val="19"/>
    </w:rPr>
  </w:style>
  <w:style w:type="paragraph" w:customStyle="1" w:styleId="Meta">
    <w:name w:val="Meta"/>
    <w:pPr>
      <w:spacing w:after="40"/>
    </w:pPr>
    <w:rPr>
      <w:rFonts w:ascii="Inter" w:hAnsi="Inter"/>
      <w:color w:val="64706E"/>
      <w:sz w:val="16"/>
    </w:rPr>
  </w:style>
  <w:style w:type="paragraph" w:customStyle="1" w:styleId="Callout">
    <w:name w:val="Callout"/>
    <w:pPr>
      <w:spacing w:after="40"/>
    </w:pPr>
    <w:rPr>
      <w:rFonts w:ascii="Inter Display" w:hAnsi="Inter Display"/>
      <w:b/>
      <w:color w:val="1E6864"/>
      <w:sz w:val="22"/>
    </w:rPr>
  </w:style>
  <w:style w:type="paragraph" w:customStyle="1" w:styleId="Label">
    <w:name w:val="Label"/>
    <w:pPr>
      <w:spacing w:after="40"/>
    </w:pPr>
    <w:rPr>
      <w:rFonts w:ascii="Inter" w:hAnsi="Inter"/>
      <w:b/>
      <w:color w:val="1E686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