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From Connection to Cumulative Capability</w:t>
      </w:r>
    </w:p>
    <w:p>
      <w:pPr>
        <w:pStyle w:val="CustomSubtitle"/>
      </w:pPr>
      <w:r>
        <w:t>Research proposal · Transition integrity and articulation along China’s Science Silk Road</w:t>
      </w:r>
    </w:p>
    <w:p>
      <w:pPr>
        <w:pStyle w:val="Byline"/>
      </w:pPr>
      <w:r>
        <w:t>François Jourdain · publishing as Réjean McCormick</w:t>
      </w:r>
    </w:p>
    <w:p>
      <w:pPr>
        <w:pStyle w:val="Meta"/>
      </w:pPr>
      <w:r>
        <w:t>St-Joseph-de-Beauce, Québec, Canada · rejean.mccormick@initkoa.org</w:t>
      </w:r>
    </w:p>
    <w:p>
      <w:pPr>
        <w:pStyle w:val="Meta"/>
      </w:pPr>
      <w:r>
        <w:t>Word count: 676 words (body only)</w:t>
      </w:r>
    </w:p>
    <w:p>
      <w:pPr>
        <w:spacing w:before="60" w:after="100"/>
        <w:pBdr>
          <w:bottom w:val="single" w:sz="10" w:space="3" w:color="1E6864"/>
        </w:pBdr>
      </w:pPr>
    </w:p>
    <w:tbl>
      <w:tblPr>
        <w:tblW w:type="auto" w:w="0"/>
        <w:tblLook w:firstColumn="1" w:firstRow="1" w:lastColumn="0" w:lastRow="0" w:noHBand="0" w:noVBand="1" w:val="04A0"/>
      </w:tblPr>
      <w:tblGrid>
        <w:gridCol w:w="10028"/>
      </w:tblGrid>
      <w:tr>
        <w:tc>
          <w:tcPr>
            <w:tcW w:type="dxa" w:w="10028"/>
            <w:shd w:fill="E8F1F0"/>
            <w:tcMar>
              <w:top w:w="90" w:type="dxa"/>
              <w:start w:w="160" w:type="dxa"/>
              <w:bottom w:w="90" w:type="dxa"/>
              <w:end w:w="160" w:type="dxa"/>
            </w:tcMar>
          </w:tcPr>
          <w:p>
            <w:pPr>
              <w:pStyle w:val="Label"/>
            </w:pPr>
            <w:r>
              <w:t>RESEARCH PROPOSITION</w:t>
            </w:r>
          </w:p>
          <w:p>
            <w:pPr>
              <w:pStyle w:val="Callout"/>
            </w:pPr>
            <w:r>
              <w:t>Study the interfaces through which heterogeneous scientific capabilities become composable, durable, and reconfigurable—without assuming that they must be absorbed into one system.</w:t>
            </w:r>
          </w:p>
        </w:tc>
      </w:tr>
    </w:tbl>
    <w:p>
      <w:pPr>
        <w:pStyle w:val="Heading1"/>
        <w:pBdr>
          <w:bottom w:val="single" w:sz="4" w:space="3" w:color="B6CDCA"/>
        </w:pBdr>
      </w:pPr>
      <w:r>
        <w:t>Research problem</w:t>
      </w:r>
    </w:p>
    <w:p>
      <w:pPr/>
      <w:r>
        <w:t>China’s Science Silk Road creates scientific connections across institutions, infrastructures, languages, jurisdictions, and unequal distributions of expertise and authority. I propose studying a problem that becomes visible precisely at these boundaries: distributed scientific capability does not automatically become collective capability. What matters is not only what resources exist or move, but what happens at the interfaces through which knowledge, competence, evidence, authority, and infrastructure must be interpreted, validated, coordinated, maintained, and reused.</w:t>
      </w:r>
    </w:p>
    <w:p>
      <w:pPr/>
      <w:r>
        <w:t>I call avoidable degradation at these interfaces conversion loss. A laboratory may receive equipment without gaining the ability to diagnose or repair it; researchers may acquire operational skills without being able to train successors; data may circulate while provenance or contextual meaning weakens; expertise may inform a project without acquiring legitimate decision authority; successful practice may disappear when personnel change. The common analytical object is the transition.</w:t>
      </w:r>
    </w:p>
    <w:p>
      <w:pPr>
        <w:pStyle w:val="Heading1"/>
        <w:pBdr>
          <w:bottom w:val="single" w:sz="4" w:space="3" w:color="B6CDCA"/>
        </w:pBdr>
      </w:pPr>
      <w:r>
        <w:t>Research questions</w:t>
      </w:r>
    </w:p>
    <w:p>
      <w:pPr/>
      <w:r>
        <w:t>My primary research question is: How do Science Silk Road collaborations make heterogeneous capabilities discoverable and composable, and under what conditions do those capabilities become cumulative rather than fragile? Three subsidiary questions follow. First, which properties—provenance, semantic context, validation, technical mastery, authority, memory—survive key transitions? Second, which capabilities increase while which dependencies on funding, equipment, software, standards, data, expertise, or authorization persist or deepen? Third, when does useful scientific centrality become terminal dependency: a condition in which continuation is no longer credible if a particular provider, institution, or technical center disappears or refuses cooperation?</w:t>
      </w:r>
    </w:p>
    <w:p>
      <w:pPr>
        <w:pStyle w:val="Heading1"/>
        <w:pBdr>
          <w:bottom w:val="single" w:sz="4" w:space="3" w:color="B6CDCA"/>
        </w:pBdr>
      </w:pPr>
      <w:r>
        <w:t>Conceptual framework</w:t>
      </w:r>
    </w:p>
    <w:p>
      <w:pPr/>
      <w:r>
        <w:t>The framework builds on work on absorptive capacity and organizational learning (Cohen and Levinthal 1990), sticky knowledge transfer (Szulanski 1996), knowledge across boundaries (Carlile 2004), technological capabilities (Bell and Pavitt 1993), boundary objects (Star and Griesemer 1989), organizational memory (Walsh and Ungson 1991), and maintenance and repair (Graham and Thrift 2007). It also responds to work by Cheng on the translation, circulation, and reproduction of knowledge, and by Ahlers on differentiated forms of steering, expertise, and scientific authority. Recent Digital Silk Road research further shows why technological upgrading and dependency must be analysed separately (El-Kadi 2024).</w:t>
      </w:r>
    </w:p>
    <w:p>
      <w:pPr/>
      <w:r>
        <w:t>The framework also emerges from Koali, a sociotechnical articulation architecture I have been developing around the broader problem of converting distributed potential into coordinated action and future capability. Koali does not aim to replace specialized scientific or institutional systems. Its design principle is composition without absorption: heterogeneous systems should be able to cooperate through explicit interfaces while preserving distinct ownership, provenance, semantics, and authority. This makes Koali useful here not as a proposed platform for the Science Silk Road, but as a source of testable distinctions about transition integrity.</w:t>
      </w:r>
    </w:p>
    <w:p>
      <w:pPr>
        <w:pStyle w:val="Heading1"/>
        <w:pBdr>
          <w:bottom w:val="single" w:sz="4" w:space="3" w:color="B6CDCA"/>
        </w:pBdr>
      </w:pPr>
      <w:r>
        <w:t>Empirical strategy</w:t>
      </w:r>
    </w:p>
    <w:p>
      <w:pPr/>
      <w:r>
        <w:t>Empirically, I would trace selected functions through one or more Science Silk Road cases using interviews where access permits, institutional and policy documents, technical and governance materials, and process reconstruction. Rather than classify an entire project as “capacity building” or “dependency,” I would follow concrete trajectories: procurement → installation → training → routine use → breakdown → repair → modification → staff turnover → subsequent training; or data collection → hosting → access → interpretation → publication → reuse → governance. At each transition I would ask what remained intact, what changed, who gained the ability to act, which authority moved, and what became easier or harder to reproduce, contest, or reconfigure.</w:t>
      </w:r>
    </w:p>
    <w:p>
      <w:pPr>
        <w:pStyle w:val="Heading1"/>
        <w:pBdr>
          <w:bottom w:val="single" w:sz="4" w:space="3" w:color="B6CDCA"/>
        </w:pBdr>
      </w:pPr>
      <w:r>
        <w:t>Analytical safeguards</w:t>
      </w:r>
    </w:p>
    <w:p>
      <w:pPr/>
      <w:r>
        <w:t>The project deliberately avoids treating local autonomy as the universal objective. Scientific systems are necessarily interdependent, and some centralization is efficient or indispensable. The more precise comparison is between interdependence with meaningful reconfiguration and interdependence with rigid lock-in. Likewise, semantic interoperability should not require a universal ontology: translation may preserve enough identity for cooperation while allowing legitimate non-equivalence between institutional or linguistic categories.</w:t>
      </w:r>
    </w:p>
    <w:p>
      <w:pPr>
        <w:pStyle w:val="Heading1"/>
        <w:pBdr>
          <w:bottom w:val="single" w:sz="4" w:space="3" w:color="B6CDCA"/>
        </w:pBdr>
      </w:pPr>
      <w:r>
        <w:t>Contribution and fit</w:t>
      </w:r>
    </w:p>
    <w:p>
      <w:pPr/>
      <w:r>
        <w:t>This contribution would complement the Science Silk Road project’s analysis of changing geographies of knowledge production by examining the mechanism between connection and durable capability. The central proposition is falsifiable: interfaces may matter less than expected, local reproduction may be unnecessary for some functions, or formal authority separation may impose excessive costs. Such findings would narrow or reject parts of the framework. The goal is therefore not to apply Koali as an answer, but to use Science Silk Road cases to test whether an articulation perspective explains how distributed scientific potential becomes cumulative collective capability.</w:t>
      </w:r>
    </w:p>
    <w:sectPr w:rsidR="00FC693F" w:rsidRPr="0006063C" w:rsidSect="00034616">
      <w:headerReference w:type="default" r:id="rId9"/>
      <w:footerReference w:type="default" r:id="rId10"/>
      <w:pgSz w:w="12240" w:h="15840"/>
      <w:pgMar w:top="822" w:right="1106" w:bottom="822" w:left="1106" w:header="369" w:footer="36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Inter" w:hAnsi="Inter"/>
        <w:color w:val="64706E"/>
        <w:sz w:val="15"/>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4" w:space="3" w:color="B6CDCA"/>
      </w:pBdr>
    </w:pPr>
    <w:r>
      <w:rPr>
        <w:rFonts w:ascii="Inter" w:hAnsi="Inter"/>
        <w:b/>
        <w:color w:val="64706E"/>
        <w:sz w:val="14"/>
      </w:rPr>
      <w:t>RESEARCH PROPOSAL · TRANSITION INTEGRITY AND ARTICULATION ALONG CHINA’S SCIENCE SILK ROAD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47" w:lineRule="auto"/>
    </w:pPr>
    <w:rPr>
      <w:rFonts w:ascii="Noto Serif" w:hAnsi="Noto Serif"/>
      <w:color w:val="1F2525"/>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60"/>
      <w:outlineLvl w:val="0"/>
    </w:pPr>
    <w:rPr>
      <w:rFonts w:asciiTheme="majorHAnsi" w:eastAsiaTheme="majorEastAsia" w:hAnsiTheme="majorHAnsi" w:cstheme="majorBidi" w:ascii="Inter Display" w:hAnsi="Inter Display"/>
      <w:b/>
      <w:bCs/>
      <w:color w:val="1E6864"/>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40" w:line="240" w:lineRule="auto"/>
      <w:contextualSpacing/>
    </w:pPr>
    <w:rPr>
      <w:rFonts w:asciiTheme="majorHAnsi" w:eastAsiaTheme="majorEastAsia" w:hAnsiTheme="majorHAnsi" w:cstheme="majorBidi" w:ascii="Inter Display" w:hAnsi="Inter Display"/>
      <w:b/>
      <w:color w:val="1E6864"/>
      <w:spacing w:val="5"/>
      <w:kern w:val="28"/>
      <w:sz w:val="43"/>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ustomSubtitle">
    <w:name w:val="Custom Subtitle"/>
    <w:pPr>
      <w:spacing w:after="140"/>
    </w:pPr>
    <w:rPr>
      <w:rFonts w:ascii="Inter Display" w:hAnsi="Inter Display"/>
      <w:color w:val="64706E"/>
      <w:sz w:val="22"/>
    </w:rPr>
  </w:style>
  <w:style w:type="paragraph" w:customStyle="1" w:styleId="Byline">
    <w:name w:val="Byline"/>
    <w:pPr>
      <w:spacing w:after="20"/>
    </w:pPr>
    <w:rPr>
      <w:rFonts w:ascii="Inter" w:hAnsi="Inter"/>
      <w:b/>
      <w:color w:val="1F2525"/>
      <w:sz w:val="18"/>
    </w:rPr>
  </w:style>
  <w:style w:type="paragraph" w:customStyle="1" w:styleId="Meta">
    <w:name w:val="Meta"/>
    <w:pPr>
      <w:spacing w:after="20"/>
    </w:pPr>
    <w:rPr>
      <w:rFonts w:ascii="Inter" w:hAnsi="Inter"/>
      <w:color w:val="64706E"/>
      <w:sz w:val="16"/>
    </w:rPr>
  </w:style>
  <w:style w:type="paragraph" w:customStyle="1" w:styleId="Label">
    <w:name w:val="Label"/>
    <w:pPr>
      <w:spacing w:after="20"/>
    </w:pPr>
    <w:rPr>
      <w:rFonts w:ascii="Inter" w:hAnsi="Inter"/>
      <w:b/>
      <w:color w:val="1E6864"/>
      <w:sz w:val="14"/>
    </w:rPr>
  </w:style>
  <w:style w:type="paragraph" w:customStyle="1" w:styleId="Callout">
    <w:name w:val="Callout"/>
    <w:pPr>
      <w:spacing w:after="20"/>
    </w:pPr>
    <w:rPr>
      <w:rFonts w:ascii="Inter Display" w:hAnsi="Inter Display"/>
      <w:b/>
      <w:color w:val="1E6864"/>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