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Scientific Connections to Cumulative Capability</w:t>
      </w:r>
    </w:p>
    <w:p>
      <w:pPr>
        <w:pStyle w:val="SubtitleCustom"/>
      </w:pPr>
      <w:r>
        <w:t>Articulation, Conversion Loss, and China’s Science Silk Road</w:t>
      </w:r>
    </w:p>
    <w:p>
      <w:pPr>
        <w:pStyle w:val="Byline"/>
      </w:pPr>
      <w:r>
        <w:t>Réjean McCormick</w:t>
      </w:r>
    </w:p>
    <w:p>
      <w:pPr>
        <w:pStyle w:val="Meta"/>
      </w:pPr>
      <w:r>
        <w:t>Publication name of François Jourdain · St-Joseph-de-Beauce, Québec, Canada</w:t>
      </w:r>
    </w:p>
    <w:p>
      <w:pPr>
        <w:pStyle w:val="Meta"/>
      </w:pPr>
      <w:r>
        <w:t xml:space="preserve">rejean.mccormick@initkoa.org · </w:t>
      </w:r>
      <w:hyperlink r:id="rId12">
        <w:r>
          <w:rPr>
            <w:color w:val="1E6864"/>
            <w:u w:val="none"/>
            <w:rFonts w:ascii="Liberation Serif" w:hAnsi="Liberation Serif"/>
          </w:rPr>
          <w:t>initkoa.org</w:t>
        </w:r>
      </w:hyperlink>
    </w:p>
    <w:p>
      <w:pPr>
        <w:spacing w:before="140" w:after="160"/>
        <w:pBdr>
          <w:bottom w:val="single" w:sz="14" w:space="5" w:color="1E6864"/>
        </w:pBdr>
      </w:pPr>
    </w:p>
    <w:tbl>
      <w:tblPr>
        <w:tblW w:type="auto" w:w="0"/>
        <w:jc w:val="center"/>
        <w:tblLook w:firstColumn="1" w:firstRow="1" w:lastColumn="0" w:lastRow="0" w:noHBand="0" w:noVBand="1" w:val="04A0"/>
      </w:tblPr>
      <w:tblGrid>
        <w:gridCol w:w="9412"/>
      </w:tblGrid>
      <w:tr>
        <w:tc>
          <w:tcPr>
            <w:tcW w:type="dxa" w:w="9412"/>
            <w:shd w:fill="E8F1F0"/>
            <w:tcMar>
              <w:top w:w="160" w:type="dxa"/>
              <w:start w:w="220" w:type="dxa"/>
              <w:bottom w:w="160" w:type="dxa"/>
              <w:end w:w="220" w:type="dxa"/>
            </w:tcMar>
          </w:tcPr>
          <w:p>
            <w:pPr>
              <w:pStyle w:val="SmallLabel"/>
            </w:pPr>
            <w:r>
              <w:t>ABSTRACT</w:t>
            </w:r>
          </w:p>
          <w:p>
            <w:pPr>
              <w:pStyle w:val="AbstractBody"/>
            </w:pPr>
            <w:r>
              <w:t>China’s Science Silk Road is commonly studied through infrastructures, partnerships, knowledge production, technology transfer, and geopolitical effects. This essay proposes a complementary systems question: how do heterogeneous scientific capabilities become discoverable, composable, actionable, and cumulative without being absorbed into a single institutional or technical order? I call failures across these transitions conversion loss. Drawing on research on technological capability, knowledge transfer, organizational memory, infrastructure, and science studies, I develop an interface-centered framework and relate it to Koali, an articulation architecture designed to connect knowledge, expertise, deliberation, execution, and institutional memory while preserving ownership, provenance, and differentiated authority.</w:t>
            </w:r>
          </w:p>
          <w:p>
            <w:pPr>
              <w:pStyle w:val="SmallLabel"/>
            </w:pPr>
            <w:r>
              <w:t>KEYWORDS</w:t>
            </w:r>
          </w:p>
          <w:p>
            <w:pPr>
              <w:pStyle w:val="AbstractBody"/>
            </w:pPr>
            <w:r>
              <w:t>Science Silk Road · capability articulation · conversion loss · scientific infrastructure · institutional memory · Global China · Koali</w:t>
            </w:r>
          </w:p>
        </w:tc>
      </w:tr>
    </w:tbl>
    <w:p/>
    <w:p>
      <w:pPr>
        <w:pStyle w:val="Heading1"/>
        <w:pBdr>
          <w:bottom w:val="single" w:sz="6" w:space="5" w:color="B4CBC8"/>
        </w:pBdr>
      </w:pPr>
      <w:r>
        <w:t>The hidden systems problem</w:t>
      </w:r>
    </w:p>
    <w:p>
      <w:pPr/>
      <w:r>
        <w:t>Scientific cooperation is often described by listing what moves: equipment, data, funding, expertise, standards, methods, people, or knowledge. Yet scientific capability is rarely an object that moves intact from one institution to another. A laboratory can receive advanced equipment without gaining the ability to repair it. Researchers can learn to operate a system without becoming able to teach their successors. A partner can access data without controlling collection, storage, interpretation, or reuse. Conversely, an institution may already possess relevant expertise that a partnership finally makes visible, credible, or connected to the resources needed to act.</w:t>
      </w:r>
    </w:p>
    <w:p>
      <w:pPr/>
      <w:r>
        <w:t>“Transfer” is therefore an imperfect shorthand. Scientific capability is often produced relationally from existing local competence, external infrastructure, institutional routines, technical standards, funding, practice, and authority. The important question is not simply what one actor gives another, but what a distributed system becomes able to do because its parts can now work together.</w:t>
      </w:r>
    </w:p>
    <w:p>
      <w:pPr/>
      <w:r>
        <w:t>This problem has precedents across several literatures. Absorptive-capacity research shows that external knowledge becomes useful only when organizations can recognize, assimilate, and apply it (Cohen and Levinthal 1990). Studies of knowledge transfer document “stickiness” even inside firms, where causal ambiguity and weak source-recipient relations obstruct the movement of proven practices (Szulanski 1996). Carlile (2004) distinguishes transfer, translation, and transformation across increasingly complex knowledge boundaries. Star and Griesemer’s (1989) boundary objects show how cooperation across heterogeneous social worlds requires enough adaptability for local use while preserving recognizable identity. Bell and Pavitt (1993) distinguish productive capacity from the technological capabilities required to generate and manage technical change. Organizational-memory research similarly separates experience from retention and reuse (Walsh and Ungson 1991).</w:t>
      </w:r>
    </w:p>
    <w:p>
      <w:pPr/>
      <w:r>
        <w:t xml:space="preserve">These literatures identify different failures at different boundaries. My proposal is to treat them as manifestations of a recurring systems problem: </w:t>
      </w:r>
      <w:r>
        <w:rPr>
          <w:b/>
        </w:rPr>
        <w:t>valuable potential can be lost when it must cross an interface and change form.</w:t>
      </w:r>
      <w:r/>
    </w:p>
    <w:p>
      <w:pPr/>
      <w:r>
        <w:t>China’s Science Silk Road offers an unusually revealing environment in which to study this problem. The project led by Anna Lisa Ahlers, Han Cheng, and Hang Zhou examines how China’s expanding international cooperation in science, technology, and innovation reshapes global knowledge production through new infrastructures, networks, and partnerships (Science Silk Road Project 2026). Such arrangements join institutions that differ in language, disciplinary practice, technical infrastructure, political authority, data governance, funding, and organizational capacity. Their consequences cannot be inferred from connectivity alone.</w:t>
      </w:r>
    </w:p>
    <w:p>
      <w:pPr>
        <w:pStyle w:val="Heading1"/>
        <w:pBdr>
          <w:bottom w:val="single" w:sz="6" w:space="5" w:color="B4CBC8"/>
        </w:pBdr>
      </w:pPr>
      <w:r>
        <w:t>From nodes to interfaces</w:t>
      </w:r>
    </w:p>
    <w:p>
      <w:pPr/>
      <w:r>
        <w:t>Most evaluations begin with nodes: laboratories, universities, firms, data centres, researchers, publications, patents, training programmes, or installed systems. These matter, but system performance may be constrained by what happens between them.</w:t>
      </w:r>
    </w:p>
    <w:p>
      <w:pPr/>
      <w:r>
        <w:t>Consider a recurring chain:</w:t>
      </w:r>
    </w:p>
    <w:p>
      <w:pPr>
        <w:pStyle w:val="Flow"/>
        <w:jc w:val="center"/>
      </w:pPr>
      <w:r>
        <w:t>potential → discovery → interpretation → qualification → composition → authorized action → outcome → memory → future capability</w:t>
      </w:r>
    </w:p>
    <w:tbl>
      <w:tblPr>
        <w:tblW w:type="auto" w:w="0"/>
        <w:jc w:val="center"/>
        <w:tblLook w:firstColumn="1" w:firstRow="1" w:lastColumn="0" w:lastRow="0" w:noHBand="0" w:noVBand="1" w:val="04A0"/>
      </w:tblPr>
      <w:tblGrid>
        <w:gridCol w:w="9412"/>
      </w:tblGrid>
      <w:tr>
        <w:tc>
          <w:tcPr>
            <w:tcW w:type="dxa" w:w="9412"/>
            <w:shd w:fill="F5F9F8"/>
            <w:tcMar>
              <w:top w:w="150" w:type="dxa"/>
              <w:start w:w="210" w:type="dxa"/>
              <w:bottom w:w="150" w:type="dxa"/>
              <w:end w:w="210" w:type="dxa"/>
            </w:tcMar>
            <w:tcBorders>
              <w:top w:val="single" w:sz="5" w:color="B4CBC8"/>
              <w:left w:val="single" w:sz="5" w:color="B4CBC8"/>
              <w:bottom w:val="single" w:sz="5" w:color="B4CBC8"/>
              <w:right w:val="single" w:sz="5" w:color="B4CBC8"/>
            </w:tcBorders>
          </w:tcPr>
          <w:p>
            <w:pPr>
              <w:pStyle w:val="SmallLabel"/>
            </w:pPr>
            <w:r>
              <w:t>ANALYTICAL SHIFT</w:t>
            </w:r>
          </w:p>
          <w:p>
            <w:pPr>
              <w:pStyle w:val="PullQuote"/>
            </w:pPr>
            <w:r>
              <w:t>The unit of analysis is not only the node. It is the interface through which capability changes form.</w:t>
            </w:r>
          </w:p>
        </w:tc>
      </w:tr>
    </w:tbl>
    <w:p>
      <w:pPr>
        <w:spacing w:after="0"/>
      </w:pPr>
    </w:p>
    <w:p>
      <w:pPr/>
      <w:r>
        <w:t>Each arrow is an interface at which something can fail to remain usable. A competence may exist but never be discovered. A claim may retain its wording while losing provenance or uncertainty. A technically correct assessment may reach an actor who lacks the authority to act. Expert advice may be silently converted into decision power, or ignored because no legitimate advisory channel exists. A decision may never become owned, resourced work. A successful outcome may be archived without becoming reusable institutional memory. Documentation may survive while human mastery disappears.</w:t>
      </w:r>
    </w:p>
    <w:p>
      <w:pPr/>
      <w:r>
        <w:t xml:space="preserve">I call these failures </w:t>
      </w:r>
      <w:r>
        <w:rPr>
          <w:b/>
        </w:rPr>
        <w:t>conversion loss</w:t>
      </w:r>
      <w:r>
        <w:t>. The term does not mean that a resource must literally disappear. A capability can remain fully present in an individual while being unavailable to the organization that needs it. A dataset can remain intact while becoming unusable because context or rights are missing. A valid finding can circulate widely while its uncertainty is stripped away. Loss is relational: potential exists, but the next stage cannot adequately mobilize it.</w:t>
      </w:r>
    </w:p>
    <w:p>
      <w:pPr/>
      <w:r>
        <w:t xml:space="preserve">This suggests a different unit of analysis for the Science Silk Road: not only the project or country, but the </w:t>
      </w:r>
      <w:r>
        <w:rPr>
          <w:b/>
        </w:rPr>
        <w:t>capability interface</w:t>
      </w:r>
      <w:r>
        <w:t>. Who or what connects a scientific resource to the next function it must serve? What properties have to survive that transition? What new authority is created? What dependency is introduced? What evidence allows later actors to reconstruct what happened?</w:t>
      </w:r>
    </w:p>
    <w:p>
      <w:pPr/>
      <w:r>
        <w:t>Cheng’s work makes this move particularly relevant. His analysis of Chinese world-writing treats knowledge production as institutionally and geopolitically situated rather than as an abstract flow of ideas (Cheng and Liu 2022). His later work explicitly emphasizes the spatialities of knowledge production, translation, consumption, circulation, and reproduction (Cheng 2025). Once knowledge is understood as moving through such trajectories, the next question is what those trajectories do to the capacity to produce, validate, maintain, and extend knowledge.</w:t>
      </w:r>
    </w:p>
    <w:p>
      <w:pPr>
        <w:pStyle w:val="Heading1"/>
        <w:pBdr>
          <w:bottom w:val="single" w:sz="6" w:space="5" w:color="B4CBC8"/>
        </w:pBdr>
      </w:pPr>
      <w:r>
        <w:t>Capability is composed, not merely transferred</w:t>
      </w:r>
    </w:p>
    <w:p>
      <w:pPr/>
      <w:r>
        <w:t>“Capacity building” is common language in international development, but it can collapse several distinct processes. Cheng, Mawdsley, and Liu’s study of the Forum on China-Africa Cooperation documents technology and skills transfer, technical assistance, training, demonstration centres, planning, and governance-capacity initiatives (Cheng, Mawdsley, and Liu 2022). These activities can be consequential without producing identical forms of durable capability.</w:t>
      </w:r>
    </w:p>
    <w:p>
      <w:pPr/>
      <w:r>
        <w:t>The technological-capabilities literature provides a useful distinction. Productive assets do not automatically create the capabilities needed to modify, improve, or reproduce technical systems (Bell and Pavitt 1993). For scientific cooperation, the relevant trajectory may include access, practice, competence, institutionalization, transmission, reproduction, and reconfiguration. But this should not be treated as a universal ladder of development. Large scientific systems are inherently interdependent, and specialization can be efficient and desirable.</w:t>
      </w:r>
    </w:p>
    <w:p>
      <w:pPr/>
      <w:r>
        <w:t>The empirical task is instead to map a profile. Who can operate the system? Who can diagnose failure? Who can repair or replace critical components? Who can interpret outputs and validate them? Who controls the relevant data? Who can alter protocols? Who can define research priorities? Who can teach the next generation? What happens when a supplier, expert, institution, or funding arrangement changes?</w:t>
      </w:r>
    </w:p>
    <w:p>
      <w:pPr/>
      <w:r>
        <w:t>Maintenance is especially revealing. Graham and Thrift (2007) show that repair and maintenance are constitutive of infrastructure and often become visible only through breakdown. In a Science Silk Road case, failure, turnover, or contract expiry may therefore be analytically valuable moments. They show whether capability resides in a machine, a person, a relationship, an institution, a supplier, or a distributed combination of these.</w:t>
      </w:r>
    </w:p>
    <w:p>
      <w:pPr/>
      <w:r>
        <w:t xml:space="preserve">This also avoids a deficit model of partner institutions. A collaboration may not simply “bring” capability. It may make existing local capabilities discoverable, connect them to new equipment or networks, change their credibility, or create new combinations of expertise that did not previously have an institutional pathway. The relevant object is therefore </w:t>
      </w:r>
      <w:r>
        <w:rPr>
          <w:b/>
        </w:rPr>
        <w:t>capability articulation</w:t>
      </w:r>
      <w:r>
        <w:t>: the process by which heterogeneous capacities become mutually discoverable and functionally composable.</w:t>
      </w:r>
    </w:p>
    <w:tbl>
      <w:tblPr>
        <w:tblW w:type="auto" w:w="0"/>
        <w:jc w:val="center"/>
        <w:tblLook w:firstColumn="1" w:firstRow="1" w:lastColumn="0" w:lastRow="0" w:noHBand="0" w:noVBand="1" w:val="04A0"/>
      </w:tblPr>
      <w:tblGrid>
        <w:gridCol w:w="9412"/>
      </w:tblGrid>
      <w:tr>
        <w:tc>
          <w:tcPr>
            <w:tcW w:type="dxa" w:w="9412"/>
            <w:shd w:fill="F5F9F8"/>
            <w:tcMar>
              <w:top w:w="150" w:type="dxa"/>
              <w:start w:w="210" w:type="dxa"/>
              <w:bottom w:w="150" w:type="dxa"/>
              <w:end w:w="210" w:type="dxa"/>
            </w:tcMar>
            <w:tcBorders>
              <w:top w:val="single" w:sz="5" w:color="B4CBC8"/>
              <w:left w:val="single" w:sz="5" w:color="B4CBC8"/>
              <w:bottom w:val="single" w:sz="5" w:color="B4CBC8"/>
              <w:right w:val="single" w:sz="5" w:color="B4CBC8"/>
            </w:tcBorders>
          </w:tcPr>
          <w:p>
            <w:pPr>
              <w:pStyle w:val="SmallLabel"/>
            </w:pPr>
            <w:r>
              <w:t>CAPABILITY ARTICULATION</w:t>
            </w:r>
          </w:p>
          <w:p>
            <w:pPr>
              <w:pStyle w:val="PullQuote"/>
            </w:pPr>
            <w:r>
              <w:t>A partnership can create value by making existing capacities discoverable and composable, not only by adding new ones.</w:t>
            </w:r>
          </w:p>
        </w:tc>
      </w:tr>
    </w:tbl>
    <w:p>
      <w:pPr>
        <w:spacing w:after="0"/>
      </w:pPr>
    </w:p>
    <w:p>
      <w:pPr>
        <w:pStyle w:val="Heading1"/>
        <w:pBdr>
          <w:bottom w:val="single" w:sz="6" w:space="5" w:color="B4CBC8"/>
        </w:pBdr>
      </w:pPr>
      <w:r>
        <w:t>Meaning, evidence, and authority must survive differently</w:t>
      </w:r>
    </w:p>
    <w:p>
      <w:pPr/>
      <w:r>
        <w:t>Scientific cooperation does not only connect hardware and people. It also crosses semantic and epistemic boundaries. A term can be translated fluently while its conceptual relations change. Two institutions can use the same label for different concepts or different labels for overlapping ones. Standardization can improve coordination while also suppressing local categories or methods that remain scientifically meaningful.</w:t>
      </w:r>
    </w:p>
    <w:p>
      <w:pPr/>
      <w:r>
        <w:t xml:space="preserve">This makes translation a special case of the transition problem. </w:t>
      </w:r>
      <w:r>
        <w:rPr>
          <w:b/>
        </w:rPr>
        <w:t>Translation is not equivalence. Interoperability need not require a universal ontology.</w:t>
      </w:r>
      <w:r>
        <w:t xml:space="preserve"> A stronger goal is semantic interoperability: preserving enough conceptual identity, relation, context, uncertainty, and provenance for knowledge to remain intelligible and composable while allowing local ontologies and interpretations to remain distinct.</w:t>
      </w:r>
    </w:p>
    <w:p>
      <w:pPr/>
      <w:r>
        <w:t xml:space="preserve">A similar distinction applies to evidence. Cooperation requires shared records, but shared records need not imply one mandatory interpretation. </w:t>
      </w:r>
      <w:r>
        <w:rPr>
          <w:b/>
        </w:rPr>
        <w:t>Stable evidence and revisable interpretation can coexist.</w:t>
      </w:r>
      <w:r>
        <w:t xml:space="preserve"> The same dataset, participation record, or experimental result may support several declared readings, provided the transformations, scope, methods, and provenance remain visible.</w:t>
      </w:r>
    </w:p>
    <w:p>
      <w:pPr/>
      <w:r>
        <w:t>Authority must be treated with the same precision. Scientific expertise, validation authority, data authority, organizational authority, agenda-setting authority, political authority, and operational permission are not interchangeable. Collins and Evans (2002) distinguish expertise from political rights in technical decision-making; Guston (2001) examines boundary organizations that connect science and policy while preserving institutional distinctions. Ahlers’s work on the Chinese science system similarly shows why a simple binary between political steering and professional science is inadequate: intensified Party steering coexists with professional and technocratic domains and continued global scientific orientation (Ahlers 2024). Her work with Christmann-Budian on university rankings also demonstrates that measurement systems can become governing instruments rather than neutral representations (Ahlers and Christmann-Budian 2023).</w:t>
      </w:r>
    </w:p>
    <w:p>
      <w:pPr/>
      <w:r>
        <w:t>For Science Silk Road research, this means that a publication count, number of trainees, installed system, or signed agreement is an output, not proof of durable capability. It also means that “control” should be decomposed. The actor who hosts data may not validate claims; the actor who validates claims may not set political priorities; the actor who funds infrastructure may not operate it. Mapping these distinctions reveals how authority actually travels through a partnership.</w:t>
      </w:r>
    </w:p>
    <w:p>
      <w:pPr>
        <w:pStyle w:val="Heading1"/>
        <w:pBdr>
          <w:bottom w:val="single" w:sz="6" w:space="5" w:color="B4CBC8"/>
        </w:pBdr>
      </w:pPr>
      <w:r>
        <w:t>Useful centrality without terminal dependency</w:t>
      </w:r>
    </w:p>
    <w:p>
      <w:pPr/>
      <w:r>
        <w:t>The language of autonomy can also obscure the problem. Scientific systems often require powerful shared centres: observatories, cloud platforms, repositories, standards bodies, specialized facilities, and coordinating institutions. Centrality is not itself domination. The more useful question is what kind of centrality a system creates.</w:t>
      </w:r>
    </w:p>
    <w:p>
      <w:pPr/>
      <w:r>
        <w:t>Recent Digital Silk Road research illustrates why this matters. El-Kadi’s study of Huawei and ZTE in Algeria and Egypt shows that infrastructure, training, and technical linkages can expand while opportunities for domestic technological upgrading remain constrained and new dependencies emerge (El-Kadi 2024). Capability gain and dependency reduction are therefore separate empirical propositions.</w:t>
      </w:r>
    </w:p>
    <w:p>
      <w:pPr/>
      <w:r>
        <w:t xml:space="preserve">The relevant object is a </w:t>
      </w:r>
      <w:r>
        <w:rPr>
          <w:b/>
        </w:rPr>
        <w:t>capability-dependency configuration</w:t>
      </w:r>
      <w:r>
        <w:t>. A dependency may be productive, mutually accepted, and difficult to replace for good reasons. The problem becomes more serious when it is terminal: when failure, refusal, capture, or disappearance of one centre makes continued operation non-credible.</w:t>
      </w:r>
    </w:p>
    <w:p>
      <w:pPr/>
      <w:r>
        <w:t xml:space="preserve">This suggests a more precise design and research principle: </w:t>
      </w:r>
      <w:r>
        <w:rPr>
          <w:b/>
        </w:rPr>
        <w:t>maximize useful centrality while minimizing terminal dependency</w:t>
      </w:r>
      <w:r>
        <w:t>. A strong shared facility may be entirely compatible with distributed expertise, local authority, portable knowledge, alternative suppliers, or credible exit. Conversely, a formally decentralized system can still contain hidden terminal dependencies.</w:t>
      </w:r>
    </w:p>
    <w:p>
      <w:pPr>
        <w:pStyle w:val="Flow"/>
        <w:jc w:val="center"/>
      </w:pPr>
      <w:r>
        <w:t>maximum useful centrality + minimum terminal dependency</w:t>
      </w:r>
    </w:p>
    <w:p>
      <w:pPr/>
      <w:r>
        <w:t>This framing also fits the BRI literature’s emphasis on local agency and contingency. Infrastructure projects are negotiated and remade through local political, economic, and institutional conditions rather than simply imposed as finished objects (Apostolopoulou et al. 2025). The question is therefore not whether a partnership is “centralized” or “dependent” in the abstract, but which functions are centralized, which capabilities remain distributed, and whether the arrangement can be renegotiated or reconfigured as conditions change.</w:t>
      </w:r>
    </w:p>
    <w:p>
      <w:pPr>
        <w:pStyle w:val="Heading1"/>
        <w:pBdr>
          <w:bottom w:val="single" w:sz="6" w:space="5" w:color="B4CBC8"/>
        </w:pBdr>
      </w:pPr>
      <w:r>
        <w:t>Koali as an articulation architecture</w:t>
      </w:r>
    </w:p>
    <w:p>
      <w:pPr/>
      <w:r>
        <w:t xml:space="preserve">The framework proposed here emerged from building </w:t>
      </w:r>
      <w:r>
        <w:rPr>
          <w:b/>
        </w:rPr>
        <w:t>Koali (kOA)</w:t>
      </w:r>
      <w:r>
        <w:t xml:space="preserve">, a broader sociotechnical architecture concerned with the same transition problem. Koali does not aim to replace specialized institutions, scientific tools, learning systems, project systems, or governance platforms. </w:t>
      </w:r>
      <w:r>
        <w:rPr>
          <w:b/>
        </w:rPr>
        <w:t>Its target is the fragmentation between them.</w:t>
      </w:r>
      <w:r/>
    </w:p>
    <w:p>
      <w:pPr/>
      <w:r>
        <w:t>The simplest model is a closed loop:</w:t>
      </w:r>
    </w:p>
    <w:p>
      <w:pPr>
        <w:pStyle w:val="Flow"/>
        <w:jc w:val="center"/>
      </w:pPr>
      <w:r>
        <w:t>knowledge → people &amp; deliberation → decision → execution → outcome → institutional memory → renewed knowledge</w:t>
      </w:r>
    </w:p>
    <w:p>
      <w:pPr/>
      <w:r>
        <w:t>Different systems may perform each function. The architectural problem is to preserve continuity when the work changes context and ownership.</w:t>
      </w:r>
    </w:p>
    <w:p>
      <w:pPr/>
      <w:r>
        <w:t xml:space="preserve">Koali therefore treats </w:t>
      </w:r>
      <w:r>
        <w:rPr>
          <w:b/>
        </w:rPr>
        <w:t>composition without absorption</w:t>
      </w:r>
      <w:r>
        <w:t xml:space="preserve"> as a central principle. Heterogeneous capabilities should be able to remain distinct while becoming discoverable, interoperable, governable, actionable, and cumulatively connected. Its Kintsugi integration model distinguishes native reproduction of a pattern when ownership or auditability requires it from adapter-based annexation of mature external capabilities when separation and replaceability are preferable (McCormick 2026a). The goal is not one monolithic codebase, but explicit contracts between capabilities.</w:t>
      </w:r>
    </w:p>
    <w:p>
      <w:pPr/>
      <w:r>
        <w:t>Its components illustrate the principle. Kristal is designed as a portable, provenance-bearing knowledge layer. Konnaxion provides human discovery, learning, collaboration, deliberation, and circulation around knowledge. EkoH represents domain-bounded expertise context without granting universal authority. Smart Vote keeps source participation separate from derived interpretive lenses, so an expertise-weighted reading does not overwrite the baseline record. Orgo carries decisions into owned tasks, escalation, closure, and feedback. Results can then return to institutional memory.</w:t>
      </w:r>
    </w:p>
    <w:p>
      <w:pPr>
        <w:pStyle w:val="Flow"/>
        <w:jc w:val="center"/>
      </w:pPr>
      <w:r>
        <w:t>Kristal → Konnaxion → deliberation / decision → Orgo → outcomes → Kristal</w:t>
      </w:r>
    </w:p>
    <w:tbl>
      <w:tblPr>
        <w:tblW w:type="auto" w:w="0"/>
        <w:jc w:val="center"/>
        <w:tblLook w:firstColumn="1" w:firstRow="1" w:lastColumn="0" w:lastRow="0" w:noHBand="0" w:noVBand="1" w:val="04A0"/>
      </w:tblPr>
      <w:tblGrid>
        <w:gridCol w:w="9412"/>
      </w:tblGrid>
      <w:tr>
        <w:tc>
          <w:tcPr>
            <w:tcW w:type="dxa" w:w="9412"/>
            <w:shd w:fill="F5F9F8"/>
            <w:tcMar>
              <w:top w:w="150" w:type="dxa"/>
              <w:start w:w="210" w:type="dxa"/>
              <w:bottom w:w="150" w:type="dxa"/>
              <w:end w:w="210" w:type="dxa"/>
            </w:tcMar>
            <w:tcBorders>
              <w:top w:val="single" w:sz="5" w:color="B4CBC8"/>
              <w:left w:val="single" w:sz="5" w:color="B4CBC8"/>
              <w:bottom w:val="single" w:sz="5" w:color="B4CBC8"/>
              <w:right w:val="single" w:sz="5" w:color="B4CBC8"/>
            </w:tcBorders>
          </w:tcPr>
          <w:p>
            <w:pPr>
              <w:pStyle w:val="SmallLabel"/>
            </w:pPr>
            <w:r>
              <w:t>COMPOSITION WITHOUT ABSORPTION</w:t>
            </w:r>
          </w:p>
          <w:p>
            <w:pPr>
              <w:pStyle w:val="PullQuote"/>
            </w:pPr>
            <w:r>
              <w:t>Koali does not seek to centralize every capability. It seeks to preserve continuity between capabilities while keeping their ownership and authority boundaries explicit.</w:t>
            </w:r>
          </w:p>
        </w:tc>
      </w:tr>
    </w:tbl>
    <w:p>
      <w:pPr>
        <w:spacing w:after="0"/>
      </w:pPr>
    </w:p>
    <w:p>
      <w:pPr/>
      <w:r>
        <w:t xml:space="preserve">The point is not that these components should replace the specialized systems already used by a laboratory, university, ministry, or municipality. </w:t>
      </w:r>
      <w:r>
        <w:rPr>
          <w:b/>
        </w:rPr>
        <w:t>Koali competes less with existing systems than with the fragmentation between them.</w:t>
      </w:r>
      <w:r>
        <w:t xml:space="preserve"> A scientific repository can remain a scientific repository; a learning platform can remain a learning platform; a specialist operational system can remain authoritative in its domain. The articulation layer is concerned with what has to remain connected across them: identity, provenance, context, authority boundaries, rationale, ownership, outcome, and memory.</w:t>
      </w:r>
    </w:p>
    <w:p>
      <w:pPr/>
      <w:r>
        <w:t>This also means centralizing coherence does not require centralizing truth or sovereignty. Koali’s architecture explicitly distinguishes centralized navigation from centralized epistemic authority, functional centrality from domination, and integration from merger. It also treats repository cloning as different from functional reproduction: an independent institution needs enough knowledge, configuration, procedures, and human mastery to operate or replace a capability, not merely a copy of source code (McCormick 2026b).</w:t>
      </w:r>
    </w:p>
    <w:p>
      <w:pPr/>
      <w:r>
        <w:t>These are implementation-oriented propositions, not claims of demonstrated superiority. Koali’s documentation distinguishes intended architecture, implemented components, tested behavior, and empirical validation; several capabilities remain subject to code, portability, and end-to-end verification (McCormick 2026c). That distinction is important for the research argument: the architecture supplies explicit hypotheses, not a conclusion that empirical cases must confirm.</w:t>
      </w:r>
    </w:p>
    <w:p>
      <w:pPr>
        <w:pStyle w:val="Heading1"/>
        <w:pBdr>
          <w:bottom w:val="single" w:sz="6" w:space="5" w:color="B4CBC8"/>
        </w:pBdr>
      </w:pPr>
      <w:r>
        <w:t>A framework designed to be contradicted</w:t>
      </w:r>
    </w:p>
    <w:p>
      <w:pPr/>
      <w:r>
        <w:t>The value of applying this framework to the Science Silk Road is precisely that the cases can break it.</w:t>
      </w:r>
    </w:p>
    <w:p>
      <w:pPr/>
      <w:r>
        <w:t>They may show that durable capability requires less provenance infrastructure than Koali assumes. They may show that some semantic standardization improves cooperation without meaningful epistemic absorption. They may show that deliberately ambiguous authority arrangements outperform explicit boundaries. They may show that a highly centralized foreign technical dependency is stable, efficient, and locally preferred. They may show that local reproduction of a function is irrelevant because the distributed arrangement itself is resilient.</w:t>
      </w:r>
    </w:p>
    <w:p>
      <w:pPr/>
      <w:r>
        <w:t>Those findings should narrow or reject the relevant claims.</w:t>
      </w:r>
    </w:p>
    <w:p>
      <w:pPr/>
      <w:r>
        <w:t>The strongest empirical strategy is therefore to follow concrete transitions through time. Trace an instrument from procurement to installation, training, routine use, breakdown, repair, modification, turnover, and subsequent training. Follow a dataset from collection to hosting, access, analysis, interpretation, publication, reuse, and governance. Follow a claim from local observation to collaborative validation, publication, policy use, and later revision.</w:t>
      </w:r>
    </w:p>
    <w:p>
      <w:pPr/>
      <w:r>
        <w:t xml:space="preserve">At each interface ask: </w:t>
      </w:r>
      <w:r>
        <w:rPr>
          <w:b/>
        </w:rPr>
        <w:t>What already existed? What became discoverable? What had to be translated? What evidence and provenance survived? Which authority changed? What new combination of capabilities became possible? Which dependency was introduced? Could the arrangement continue or reconfigure when conditions changed?</w:t>
      </w:r>
      <w:r/>
    </w:p>
    <w:p>
      <w:pPr>
        <w:pStyle w:val="Heading1"/>
        <w:pBdr>
          <w:bottom w:val="single" w:sz="6" w:space="5" w:color="B4CBC8"/>
        </w:pBdr>
      </w:pPr>
      <w:r>
        <w:t>Beyond knowledge production</w:t>
      </w:r>
    </w:p>
    <w:p>
      <w:pPr/>
      <w:r>
        <w:t>The Science Silk Road asks how new scientific infrastructures and relationships are reshaping the geography of global knowledge production. The argument here extends that question from production to articulation and cumulativity.</w:t>
      </w:r>
    </w:p>
    <w:p>
      <w:pPr/>
      <w:r>
        <w:t>The central problem is not a shortage of specialized systems. Modern science already contains extraordinary institutions, experts, tools, repositories, standards, and infrastructures. The systemic weakness often lies in the interfaces through which these capabilities must discover one another, preserve meaning and provenance, reach legitimate authority, become coordinated action, and return experience to future practice.</w:t>
      </w:r>
    </w:p>
    <w:p>
      <w:pPr/>
      <w:r>
        <w:t xml:space="preserve">The decisive question is therefore not only what crosses borders, or even what survives the transfer. It is </w:t>
      </w:r>
      <w:r>
        <w:rPr>
          <w:b/>
        </w:rPr>
        <w:t>what new collective capability becomes possible when heterogeneous systems can compose without being absorbed into one another.</w:t>
      </w:r>
      <w:r/>
    </w:p>
    <w:p>
      <w:pPr/>
      <w:r>
        <w:t xml:space="preserve">Seen this way, China’s Science Silk Road becomes a laboratory for a broader problem of increasingly interconnected societies: how distributed potential becomes cumulative collective agency. </w:t>
      </w:r>
      <w:r>
        <w:rPr>
          <w:b/>
        </w:rPr>
        <w:t>The professions change, the institutions change, and the technologies change. The transitions recur.</w:t>
      </w:r>
      <w:r/>
    </w:p>
    <w:p>
      <w:pPr>
        <w:pStyle w:val="Heading1"/>
        <w:pBdr>
          <w:bottom w:val="single" w:sz="6" w:space="5" w:color="B4CBC8"/>
        </w:pBdr>
      </w:pPr>
      <w:r>
        <w:t>References</w:t>
      </w:r>
    </w:p>
    <w:p>
      <w:pPr>
        <w:pStyle w:val="Reference"/>
      </w:pPr>
      <w:r>
        <w:t xml:space="preserve">Ahlers, Anna L. 2024. </w:t>
      </w:r>
      <w:r>
        <w:rPr>
          <w:i/>
        </w:rPr>
        <w:t>The Communist Party’s Steering of China’s Science, Technology, and Innovation System: Aspirations and Reality.</w:t>
      </w:r>
      <w:r>
        <w:t xml:space="preserve"> UC Institute on Global Conflict and Cooperation / MERICS. </w:t>
      </w:r>
      <w:hyperlink r:id="rId13">
        <w:r>
          <w:rPr>
            <w:color w:val="1E6864"/>
            <w:u w:val="none"/>
            <w:rFonts w:ascii="Liberation Serif" w:hAnsi="Liberation Serif"/>
          </w:rPr>
          <w:t>ucigcc.org/wp-content/uploads/2024/04/Ahlers-CCP-04.01.24.pdf</w:t>
        </w:r>
      </w:hyperlink>
    </w:p>
    <w:p>
      <w:pPr>
        <w:pStyle w:val="Reference"/>
      </w:pPr>
      <w:r>
        <w:t xml:space="preserve">Ahlers, Anna L., and Stephanie Christmann-Budian. 2023. “The Politics of University Rankings in China.” </w:t>
      </w:r>
      <w:r>
        <w:rPr>
          <w:i/>
        </w:rPr>
        <w:t>Higher Education</w:t>
      </w:r>
      <w:r>
        <w:t xml:space="preserve"> 86: 751–770. </w:t>
      </w:r>
      <w:hyperlink r:id="rId14">
        <w:r>
          <w:rPr>
            <w:color w:val="1E6864"/>
            <w:u w:val="none"/>
            <w:rFonts w:ascii="Liberation Serif" w:hAnsi="Liberation Serif"/>
          </w:rPr>
          <w:t>doi.org/10.1007/s10734-023-01014-y</w:t>
        </w:r>
      </w:hyperlink>
    </w:p>
    <w:p>
      <w:pPr>
        <w:pStyle w:val="Reference"/>
      </w:pPr>
      <w:r>
        <w:t xml:space="preserve">Apostolopoulou, Elia, Han Cheng, Jonathan Silver, and Alan Wiig, eds. 2025. </w:t>
      </w:r>
      <w:r>
        <w:rPr>
          <w:i/>
        </w:rPr>
        <w:t>The Material Geographies of the Belt and Road Initiative: Infrastructures and Political Ecologies on the New Silk Road.</w:t>
      </w:r>
      <w:r>
        <w:t xml:space="preserve"> Bristol: Bristol University Press. </w:t>
      </w:r>
      <w:hyperlink r:id="rId15">
        <w:r>
          <w:rPr>
            <w:color w:val="1E6864"/>
            <w:u w:val="none"/>
            <w:rFonts w:ascii="Liberation Serif" w:hAnsi="Liberation Serif"/>
          </w:rPr>
          <w:t>library.oapen.org/handle/20.500.12657/108372</w:t>
        </w:r>
      </w:hyperlink>
    </w:p>
    <w:p>
      <w:pPr>
        <w:pStyle w:val="Reference"/>
      </w:pPr>
      <w:r>
        <w:t xml:space="preserve">Bell, Martin, and Keith Pavitt. 1993. “Technological Accumulation and Industrial Growth: Contrasts Between Developed and Developing Countries.” </w:t>
      </w:r>
      <w:r>
        <w:rPr>
          <w:i/>
        </w:rPr>
        <w:t>Industrial and Corporate Change</w:t>
      </w:r>
      <w:r>
        <w:t xml:space="preserve"> 2(2): 157–210. </w:t>
      </w:r>
      <w:hyperlink r:id="rId16">
        <w:r>
          <w:rPr>
            <w:color w:val="1E6864"/>
            <w:u w:val="none"/>
            <w:rFonts w:ascii="Liberation Serif" w:hAnsi="Liberation Serif"/>
          </w:rPr>
          <w:t>doi.org/10.1093/icc/2.2.157</w:t>
        </w:r>
      </w:hyperlink>
    </w:p>
    <w:p>
      <w:pPr>
        <w:pStyle w:val="Reference"/>
      </w:pPr>
      <w:r>
        <w:t xml:space="preserve">Carlile, Paul R. 2004. “Transferring, Translating, and Transforming: An Integrative Framework for Managing Knowledge Across Boundaries.” </w:t>
      </w:r>
      <w:r>
        <w:rPr>
          <w:i/>
        </w:rPr>
        <w:t>Organization Science</w:t>
      </w:r>
      <w:r>
        <w:t xml:space="preserve"> 15(5): 555–568. </w:t>
      </w:r>
      <w:hyperlink r:id="rId17">
        <w:r>
          <w:rPr>
            <w:color w:val="1E6864"/>
            <w:u w:val="none"/>
            <w:rFonts w:ascii="Liberation Serif" w:hAnsi="Liberation Serif"/>
          </w:rPr>
          <w:t>doi.org/10.1287/orsc.1040.0094</w:t>
        </w:r>
      </w:hyperlink>
    </w:p>
    <w:p>
      <w:pPr>
        <w:pStyle w:val="Reference"/>
      </w:pPr>
      <w:r>
        <w:t xml:space="preserve">Cheng, Han. 2025. “Global China’s Spatial Ambition and Area Studies with Geography.” </w:t>
      </w:r>
      <w:r>
        <w:rPr>
          <w:i/>
        </w:rPr>
        <w:t>Transactions of the Institute of British Geographers</w:t>
      </w:r>
      <w:r>
        <w:t xml:space="preserve"> 50: e70027. </w:t>
      </w:r>
      <w:hyperlink r:id="rId18">
        <w:r>
          <w:rPr>
            <w:color w:val="1E6864"/>
            <w:u w:val="none"/>
            <w:rFonts w:ascii="Liberation Serif" w:hAnsi="Liberation Serif"/>
          </w:rPr>
          <w:t>doi.org/10.1111/tran.70027</w:t>
        </w:r>
      </w:hyperlink>
    </w:p>
    <w:p>
      <w:pPr>
        <w:pStyle w:val="Reference"/>
      </w:pPr>
      <w:r>
        <w:t xml:space="preserve">Cheng, Han, and Weidong Liu. 2022. “Geography, Area Studies and Chinese World-Writing.” </w:t>
      </w:r>
      <w:r>
        <w:rPr>
          <w:i/>
        </w:rPr>
        <w:t>Progress in Human Geography</w:t>
      </w:r>
      <w:r>
        <w:t xml:space="preserve">. </w:t>
      </w:r>
      <w:hyperlink r:id="rId19">
        <w:r>
          <w:rPr>
            <w:color w:val="1E6864"/>
            <w:u w:val="none"/>
            <w:rFonts w:ascii="Liberation Serif" w:hAnsi="Liberation Serif"/>
          </w:rPr>
          <w:t>doi.org/10.1177/03091325221096179</w:t>
        </w:r>
      </w:hyperlink>
    </w:p>
    <w:p>
      <w:pPr>
        <w:pStyle w:val="Reference"/>
      </w:pPr>
      <w:r>
        <w:t xml:space="preserve">Cheng, Han, Emma Mawdsley, and Weidong Liu. 2022. “Reading the Forum on China–Africa Cooperation (2000–2021): Geoeconomics, Governance, and Embedding ‘Creative Involvement’.” </w:t>
      </w:r>
      <w:r>
        <w:rPr>
          <w:i/>
        </w:rPr>
        <w:t>Area Development and Policy</w:t>
      </w:r>
      <w:r>
        <w:t xml:space="preserve">. </w:t>
      </w:r>
      <w:hyperlink r:id="rId20">
        <w:r>
          <w:rPr>
            <w:color w:val="1E6864"/>
            <w:u w:val="none"/>
            <w:rFonts w:ascii="Liberation Serif" w:hAnsi="Liberation Serif"/>
          </w:rPr>
          <w:t>doi.org/10.1080/23792949.2022.2092018</w:t>
        </w:r>
      </w:hyperlink>
    </w:p>
    <w:p>
      <w:pPr>
        <w:pStyle w:val="Reference"/>
      </w:pPr>
      <w:r>
        <w:t xml:space="preserve">Cohen, Wesley M., and Daniel A. Levinthal. 1990. “Absorptive Capacity: A New Perspective on Learning and Innovation.” </w:t>
      </w:r>
      <w:r>
        <w:rPr>
          <w:i/>
        </w:rPr>
        <w:t>Administrative Science Quarterly</w:t>
      </w:r>
      <w:r>
        <w:t xml:space="preserve"> 35(1): 128–152. </w:t>
      </w:r>
      <w:hyperlink r:id="rId21">
        <w:r>
          <w:rPr>
            <w:color w:val="1E6864"/>
            <w:u w:val="none"/>
            <w:rFonts w:ascii="Liberation Serif" w:hAnsi="Liberation Serif"/>
          </w:rPr>
          <w:t>doi.org/10.2307/2393553</w:t>
        </w:r>
      </w:hyperlink>
    </w:p>
    <w:p>
      <w:pPr>
        <w:pStyle w:val="Reference"/>
      </w:pPr>
      <w:r>
        <w:t xml:space="preserve">Collins, H. M., and Robert Evans. 2002. “The Third Wave of Science Studies: Studies of Expertise and Experience.” </w:t>
      </w:r>
      <w:r>
        <w:rPr>
          <w:i/>
        </w:rPr>
        <w:t>Social Studies of Science</w:t>
      </w:r>
      <w:r>
        <w:t xml:space="preserve"> 32(2): 235–296. </w:t>
      </w:r>
      <w:hyperlink r:id="rId22">
        <w:r>
          <w:rPr>
            <w:color w:val="1E6864"/>
            <w:u w:val="none"/>
            <w:rFonts w:ascii="Liberation Serif" w:hAnsi="Liberation Serif"/>
          </w:rPr>
          <w:t>doi.org/10.1177/0306312702032002003</w:t>
        </w:r>
      </w:hyperlink>
    </w:p>
    <w:p>
      <w:pPr>
        <w:pStyle w:val="Reference"/>
      </w:pPr>
      <w:r>
        <w:t xml:space="preserve">El-Kadi, Tin Hinane. 2024. “Learning along the Digital Silk Road? Technology Transfer, Power, and Chinese ICT Corporations in North Africa.” </w:t>
      </w:r>
      <w:r>
        <w:rPr>
          <w:i/>
        </w:rPr>
        <w:t>The Information Society</w:t>
      </w:r>
      <w:r>
        <w:t xml:space="preserve"> 40(2): 136–153. </w:t>
      </w:r>
      <w:hyperlink r:id="rId23">
        <w:r>
          <w:rPr>
            <w:color w:val="1E6864"/>
            <w:u w:val="none"/>
            <w:rFonts w:ascii="Liberation Serif" w:hAnsi="Liberation Serif"/>
          </w:rPr>
          <w:t>doi.org/10.1080/01972243.2024.2317060</w:t>
        </w:r>
      </w:hyperlink>
    </w:p>
    <w:p>
      <w:pPr>
        <w:pStyle w:val="Reference"/>
      </w:pPr>
      <w:r>
        <w:t xml:space="preserve">Graham, Stephen, and Nigel Thrift. 2007. “Out of Order: Understanding Repair and Maintenance.” </w:t>
      </w:r>
      <w:r>
        <w:rPr>
          <w:i/>
        </w:rPr>
        <w:t>Theory, Culture &amp; Society</w:t>
      </w:r>
      <w:r>
        <w:t xml:space="preserve"> 24(3): 1–25. </w:t>
      </w:r>
      <w:hyperlink r:id="rId24">
        <w:r>
          <w:rPr>
            <w:color w:val="1E6864"/>
            <w:u w:val="none"/>
            <w:rFonts w:ascii="Liberation Serif" w:hAnsi="Liberation Serif"/>
          </w:rPr>
          <w:t>doi.org/10.1177/0263276407075954</w:t>
        </w:r>
      </w:hyperlink>
    </w:p>
    <w:p>
      <w:pPr>
        <w:pStyle w:val="Reference"/>
      </w:pPr>
      <w:r>
        <w:t xml:space="preserve">Guston, David H. 2001. “Boundary Organizations in Environmental Policy and Science: An Introduction.” </w:t>
      </w:r>
      <w:r>
        <w:rPr>
          <w:i/>
        </w:rPr>
        <w:t>Science, Technology, &amp; Human Values</w:t>
      </w:r>
      <w:r>
        <w:t xml:space="preserve"> 26(4): 399–408. </w:t>
      </w:r>
      <w:hyperlink r:id="rId25">
        <w:r>
          <w:rPr>
            <w:color w:val="1E6864"/>
            <w:u w:val="none"/>
            <w:rFonts w:ascii="Liberation Serif" w:hAnsi="Liberation Serif"/>
          </w:rPr>
          <w:t>doi.org/10.1177/016224390102600401</w:t>
        </w:r>
      </w:hyperlink>
    </w:p>
    <w:p>
      <w:pPr>
        <w:pStyle w:val="Reference"/>
      </w:pPr>
      <w:r>
        <w:t xml:space="preserve">Helfat, Constance E., and Margaret A. Peteraf. 2003. “The Dynamic Resource-Based View: Capability Lifecycles.” </w:t>
      </w:r>
      <w:r>
        <w:rPr>
          <w:i/>
        </w:rPr>
        <w:t>Strategic Management Journal</w:t>
      </w:r>
      <w:r>
        <w:t xml:space="preserve"> 24(10): 997–1010. </w:t>
      </w:r>
      <w:hyperlink r:id="rId26">
        <w:r>
          <w:rPr>
            <w:color w:val="1E6864"/>
            <w:u w:val="none"/>
            <w:rFonts w:ascii="Liberation Serif" w:hAnsi="Liberation Serif"/>
          </w:rPr>
          <w:t>doi.org/10.1002/smj.332</w:t>
        </w:r>
      </w:hyperlink>
    </w:p>
    <w:p>
      <w:pPr>
        <w:pStyle w:val="Reference"/>
      </w:pPr>
      <w:r>
        <w:t xml:space="preserve">Star, Susan Leigh, and James R. Griesemer. 1989. “Institutional Ecology, ‘Translations’ and Boundary Objects.” </w:t>
      </w:r>
      <w:r>
        <w:rPr>
          <w:i/>
        </w:rPr>
        <w:t>Social Studies of Science</w:t>
      </w:r>
      <w:r>
        <w:t xml:space="preserve"> 19(3): 387–420. </w:t>
      </w:r>
      <w:hyperlink r:id="rId27">
        <w:r>
          <w:rPr>
            <w:color w:val="1E6864"/>
            <w:u w:val="none"/>
            <w:rFonts w:ascii="Liberation Serif" w:hAnsi="Liberation Serif"/>
          </w:rPr>
          <w:t>doi.org/10.1177/030631289019003001</w:t>
        </w:r>
      </w:hyperlink>
    </w:p>
    <w:p>
      <w:pPr>
        <w:pStyle w:val="Reference"/>
      </w:pPr>
      <w:r>
        <w:t xml:space="preserve">Szulanski, Gabriel. 1996. “Exploring Internal Stickiness: Impediments to the Transfer of Best Practice within the Firm.” </w:t>
      </w:r>
      <w:r>
        <w:rPr>
          <w:i/>
        </w:rPr>
        <w:t>Strategic Management Journal</w:t>
      </w:r>
      <w:r>
        <w:t xml:space="preserve"> 17(S2): 27–43. </w:t>
      </w:r>
      <w:hyperlink r:id="rId28">
        <w:r>
          <w:rPr>
            <w:color w:val="1E6864"/>
            <w:u w:val="none"/>
            <w:rFonts w:ascii="Liberation Serif" w:hAnsi="Liberation Serif"/>
          </w:rPr>
          <w:t>doi.org/10.1002/smj.4250171105</w:t>
        </w:r>
      </w:hyperlink>
    </w:p>
    <w:p>
      <w:pPr>
        <w:pStyle w:val="Reference"/>
      </w:pPr>
      <w:r>
        <w:t xml:space="preserve">Walsh, James P., and Gerardo Rivera Ungson. 1991. “Organizational Memory.” </w:t>
      </w:r>
      <w:r>
        <w:rPr>
          <w:i/>
        </w:rPr>
        <w:t>Academy of Management Review</w:t>
      </w:r>
      <w:r>
        <w:t xml:space="preserve"> 16(1): 57–91. </w:t>
      </w:r>
      <w:hyperlink r:id="rId29">
        <w:r>
          <w:rPr>
            <w:color w:val="1E6864"/>
            <w:u w:val="none"/>
            <w:rFonts w:ascii="Liberation Serif" w:hAnsi="Liberation Serif"/>
          </w:rPr>
          <w:t>doi.org/10.5465/AMR.1991.4278992</w:t>
        </w:r>
      </w:hyperlink>
    </w:p>
    <w:p>
      <w:pPr>
        <w:pStyle w:val="Heading2"/>
        <w:pBdr>
          <w:bottom w:val="single" w:sz="4" w:space="5" w:color="B4CBC8"/>
        </w:pBdr>
      </w:pPr>
      <w:r>
        <w:t>Project and architectural sources</w:t>
      </w:r>
    </w:p>
    <w:p>
      <w:pPr>
        <w:pStyle w:val="Reference"/>
      </w:pPr>
      <w:r>
        <w:t xml:space="preserve">McCormick, Réjean. 2026a. “Konnaxion – Technical Architecture &amp; Services.” kOA Initiative. </w:t>
      </w:r>
      <w:hyperlink r:id="rId30">
        <w:r>
          <w:rPr>
            <w:color w:val="1E6864"/>
            <w:u w:val="none"/>
            <w:rFonts w:ascii="Liberation Serif" w:hAnsi="Liberation Serif"/>
          </w:rPr>
          <w:t>initkoa.org/platforms/konnaxion/technical/konnaxion-technical-architecture-and-services</w:t>
        </w:r>
      </w:hyperlink>
    </w:p>
    <w:p>
      <w:pPr>
        <w:pStyle w:val="Reference"/>
      </w:pPr>
      <w:r>
        <w:t xml:space="preserve">McCormick, Réjean. 2026b. “kOA Digital Ecosystem.” Public architecture repository. </w:t>
      </w:r>
      <w:hyperlink r:id="rId31">
        <w:r>
          <w:rPr>
            <w:color w:val="1E6864"/>
            <w:u w:val="none"/>
            <w:rFonts w:ascii="Liberation Serif" w:hAnsi="Liberation Serif"/>
          </w:rPr>
          <w:t>github.com/Rejean-McCormick/kOA_Digital_Ecosystem</w:t>
        </w:r>
      </w:hyperlink>
    </w:p>
    <w:p>
      <w:pPr>
        <w:pStyle w:val="Reference"/>
      </w:pPr>
      <w:r>
        <w:t xml:space="preserve">McCormick, Réjean. 2026c. “Koali context packs and implementation-status documentation.” kOA Initiative. </w:t>
      </w:r>
      <w:hyperlink r:id="rId32">
        <w:r>
          <w:rPr>
            <w:color w:val="1E6864"/>
            <w:u w:val="none"/>
            <w:rFonts w:ascii="Liberation Serif" w:hAnsi="Liberation Serif"/>
          </w:rPr>
          <w:t>initkoa.org/technology/context-packs</w:t>
        </w:r>
      </w:hyperlink>
    </w:p>
    <w:p>
      <w:pPr>
        <w:pStyle w:val="Reference"/>
      </w:pPr>
      <w:r>
        <w:t xml:space="preserve">Science Silk Road Project. 2026. “China’s Science Silk Road and the New Geopolitics of Knowledge Production.” Max Planck Institute for the History of Science and Université Laval. </w:t>
      </w:r>
      <w:hyperlink r:id="rId33">
        <w:r>
          <w:rPr>
            <w:color w:val="1E6864"/>
            <w:u w:val="none"/>
            <w:rFonts w:ascii="Liberation Serif" w:hAnsi="Liberation Serif"/>
          </w:rPr>
          <w:t>sciencesilkroad.mpiwg-berlin.mpg.de/</w:t>
        </w:r>
      </w:hyperlink>
    </w:p>
    <w:p>
      <w:pPr>
        <w:pStyle w:val="Heading1"/>
        <w:pBdr>
          <w:bottom w:val="single" w:sz="6" w:space="5" w:color="B4CBC8"/>
        </w:pBdr>
      </w:pPr>
      <w:r>
        <w:t>Author bio</w:t>
      </w:r>
    </w:p>
    <w:p>
      <w:pPr>
        <w:pStyle w:val="Bio"/>
      </w:pPr>
      <w:r>
        <w:t>Réjean McCormick is the publication name of François Jourdain, an independent systems architect based in St-Joseph-de-Beauce, Québec. He is developing Koali (kOA), a sociotechnical articulation architecture concerned with knowledge-to-action transitions, provenance, differentiated authority, institutional memory, and cumulative collective capability. His current work examines how these architectural propositions can be pressure-tested against real institutional and transnational systems.</w:t>
      </w:r>
    </w:p>
    <w:p>
      <w:pPr>
        <w:pStyle w:val="Meta"/>
      </w:pPr>
      <w:r>
        <w:t xml:space="preserve">Contact: rejean.mccormick@initkoa.org · </w:t>
      </w:r>
      <w:hyperlink r:id="rId12">
        <w:r>
          <w:rPr>
            <w:color w:val="1E6864"/>
            <w:u w:val="none"/>
            <w:rFonts w:ascii="Liberation Serif" w:hAnsi="Liberation Serif"/>
          </w:rPr>
          <w:t>initkoa.org</w:t>
        </w:r>
      </w:hyperlink>
      <w:r>
        <w:t xml:space="preserve"> · </w:t>
      </w:r>
      <w:hyperlink r:id="rId34">
        <w:r>
          <w:rPr>
            <w:color w:val="1E6864"/>
            <w:u w:val="none"/>
            <w:rFonts w:ascii="Liberation Serif" w:hAnsi="Liberation Serif"/>
          </w:rPr>
          <w:t>github.com/Rejean-McCormick</w:t>
        </w:r>
      </w:hyperlink>
    </w:p>
    <w:sectPr w:rsidR="00FC693F" w:rsidRPr="0006063C" w:rsidSect="00034616">
      <w:headerReference w:type="default" r:id="rId9"/>
      <w:footerReference w:type="default" r:id="rId10"/>
      <w:headerReference w:type="first" r:id="rId11"/>
      <w:pgSz w:w="11906" w:h="16838"/>
      <w:pgMar w:top="1162" w:right="1247" w:bottom="1077"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C68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06"/>
      <w:gridCol w:w="4706"/>
    </w:tblGrid>
    <w:tr>
      <w:tc>
        <w:tcPr>
          <w:tcW w:type="dxa" w:w="4706"/>
          <w:vAlign w:val="center"/>
          <w:tcMar>
            <w:top w:w="0" w:type="dxa"/>
            <w:start w:w="0" w:type="dxa"/>
            <w:bottom w:w="35" w:type="dxa"/>
            <w:end w:w="0" w:type="dxa"/>
          </w:tcMar>
          <w:tcBorders>
            <w:bottom w:val="single" w:sz="8" w:color="1E6864"/>
          </w:tcBorders>
        </w:tcPr>
        <w:p>
          <w:r>
            <w:rPr>
              <w:rFonts w:ascii="Liberation Sans" w:hAnsi="Liberation Sans"/>
              <w:b/>
              <w:color w:val="1E6864"/>
              <w:sz w:val="14"/>
            </w:rPr>
            <w:t>FROM SCIENTIFIC CONNECTIONS TO CUMULATIVE CAPABILITY</w:t>
          </w:r>
        </w:p>
      </w:tc>
      <w:tc>
        <w:tcPr>
          <w:tcW w:type="dxa" w:w="4706"/>
          <w:vAlign w:val="center"/>
          <w:tcMar>
            <w:top w:w="0" w:type="dxa"/>
            <w:start w:w="0" w:type="dxa"/>
            <w:bottom w:w="35" w:type="dxa"/>
            <w:end w:w="0" w:type="dxa"/>
          </w:tcMar>
          <w:tcBorders>
            <w:bottom w:val="single" w:sz="8" w:color="1E6864"/>
          </w:tcBorders>
        </w:tcPr>
        <w:p>
          <w:pPr>
            <w:jc w:val="right"/>
          </w:pPr>
          <w:r>
            <w:rPr>
              <w:rFonts w:ascii="Liberation Sans" w:hAnsi="Liberation Sans"/>
              <w:color w:val="5C6866"/>
              <w:sz w:val="14"/>
            </w:rPr>
            <w:t>RÉJEAN McCORMICK</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04"/>
    </w:pPr>
    <w:rPr>
      <w:rFonts w:ascii="Liberation Serif" w:hAnsi="Liberation Serif" w:eastAsia="Liberation Serif"/>
      <w:color w:val="202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30"/>
      <w:outlineLvl w:val="0"/>
    </w:pPr>
    <w:rPr>
      <w:rFonts w:asciiTheme="majorHAnsi" w:eastAsiaTheme="majorEastAsia" w:hAnsiTheme="majorHAnsi" w:cstheme="majorBidi" w:ascii="Liberation Sans" w:hAnsi="Liberation Sans" w:eastAsia="Liberation Sans"/>
      <w:b/>
      <w:bCs/>
      <w:color w:val="1E6864"/>
      <w:sz w:val="30"/>
      <w:szCs w:val="28"/>
    </w:rPr>
  </w:style>
  <w:style w:type="paragraph" w:styleId="Heading2">
    <w:name w:val="heading 2"/>
    <w:basedOn w:val="Normal"/>
    <w:next w:val="Normal"/>
    <w:link w:val="Heading2Char"/>
    <w:uiPriority w:val="9"/>
    <w:unhideWhenUsed/>
    <w:qFormat/>
    <w:rsid w:val="00FC693F"/>
    <w:pPr>
      <w:keepNext/>
      <w:keepLines/>
      <w:spacing w:before="220" w:after="90"/>
      <w:outlineLvl w:val="1"/>
    </w:pPr>
    <w:rPr>
      <w:rFonts w:asciiTheme="majorHAnsi" w:eastAsiaTheme="majorEastAsia" w:hAnsiTheme="majorHAnsi" w:cstheme="majorBidi" w:ascii="Liberation Sans" w:hAnsi="Liberation Sans" w:eastAsia="Liberation Sans"/>
      <w:b/>
      <w:bCs/>
      <w:color w:val="1E6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ascii="Liberation Sans" w:hAnsi="Liberation Sans" w:eastAsia="Liberation Sans"/>
      <w:b/>
      <w:color w:val="1E6864"/>
      <w:spacing w:val="5"/>
      <w:kern w:val="28"/>
      <w:sz w:val="4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keepNext/>
      <w:spacing w:after="240"/>
    </w:pPr>
    <w:rPr>
      <w:rFonts w:ascii="Liberation Sans" w:hAnsi="Liberation Sans" w:eastAsia="Liberation Sans"/>
      <w:color w:val="5C6866"/>
      <w:sz w:val="26"/>
    </w:rPr>
  </w:style>
  <w:style w:type="paragraph" w:customStyle="1" w:styleId="Byline">
    <w:name w:val="Byline"/>
    <w:pPr>
      <w:spacing w:after="40"/>
    </w:pPr>
    <w:rPr>
      <w:rFonts w:ascii="Liberation Sans" w:hAnsi="Liberation Sans" w:eastAsia="Liberation Sans"/>
      <w:b/>
      <w:color w:val="202827"/>
      <w:sz w:val="20"/>
    </w:rPr>
  </w:style>
  <w:style w:type="paragraph" w:customStyle="1" w:styleId="Meta">
    <w:name w:val="Meta"/>
    <w:pPr>
      <w:spacing w:after="40"/>
    </w:pPr>
    <w:rPr>
      <w:rFonts w:ascii="Liberation Sans" w:hAnsi="Liberation Sans" w:eastAsia="Liberation Sans"/>
      <w:color w:val="5C6866"/>
      <w:sz w:val="17"/>
    </w:rPr>
  </w:style>
  <w:style w:type="paragraph" w:customStyle="1" w:styleId="SmallLabel">
    <w:name w:val="Small Label"/>
    <w:pPr>
      <w:spacing w:after="40"/>
    </w:pPr>
    <w:rPr>
      <w:rFonts w:ascii="Liberation Sans" w:hAnsi="Liberation Sans" w:eastAsia="Liberation Sans"/>
      <w:b/>
      <w:color w:val="1E6864"/>
      <w:sz w:val="16"/>
    </w:rPr>
  </w:style>
  <w:style w:type="paragraph" w:customStyle="1" w:styleId="AbstractBody">
    <w:name w:val="Abstract Body"/>
    <w:pPr>
      <w:spacing w:line="252" w:lineRule="auto" w:after="60"/>
    </w:pPr>
    <w:rPr>
      <w:rFonts w:ascii="Liberation Serif" w:hAnsi="Liberation Serif" w:eastAsia="Liberation Serif"/>
      <w:color w:val="202827"/>
      <w:sz w:val="19"/>
    </w:rPr>
  </w:style>
  <w:style w:type="paragraph" w:customStyle="1" w:styleId="Flow">
    <w:name w:val="Flow"/>
    <w:pPr>
      <w:keepLines/>
      <w:spacing w:before="80" w:after="120"/>
    </w:pPr>
    <w:rPr>
      <w:rFonts w:ascii="Liberation Sans" w:hAnsi="Liberation Sans" w:eastAsia="Liberation Sans"/>
      <w:b/>
      <w:color w:val="1E6864"/>
      <w:sz w:val="20"/>
    </w:rPr>
  </w:style>
  <w:style w:type="paragraph" w:customStyle="1" w:styleId="PullQuote">
    <w:name w:val="Pull Quote"/>
    <w:pPr>
      <w:spacing w:after="60" w:line="247" w:lineRule="auto"/>
    </w:pPr>
    <w:rPr>
      <w:rFonts w:ascii="Liberation Sans" w:hAnsi="Liberation Sans" w:eastAsia="Liberation Sans"/>
      <w:b/>
      <w:color w:val="1E6864"/>
      <w:sz w:val="22"/>
    </w:rPr>
  </w:style>
  <w:style w:type="paragraph" w:customStyle="1" w:styleId="Reference">
    <w:name w:val="Reference"/>
    <w:pPr>
      <w:spacing w:after="80" w:line="242" w:lineRule="auto"/>
      <w:ind w:left="312" w:hanging="312"/>
    </w:pPr>
    <w:rPr>
      <w:rFonts w:ascii="Liberation Serif" w:hAnsi="Liberation Serif" w:eastAsia="Liberation Serif"/>
      <w:color w:val="202827"/>
      <w:sz w:val="17"/>
    </w:rPr>
  </w:style>
  <w:style w:type="paragraph" w:customStyle="1" w:styleId="Bio">
    <w:name w:val="Bio"/>
    <w:pPr>
      <w:spacing w:after="80"/>
    </w:pPr>
    <w:rPr>
      <w:rFonts w:ascii="Liberation Serif" w:hAnsi="Liberation Serif" w:eastAsia="Liberation Serif"/>
      <w:color w:val="202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yperlink" Target="https://initkoa.org" TargetMode="External"/><Relationship Id="rId13" Type="http://schemas.openxmlformats.org/officeDocument/2006/relationships/hyperlink" Target="https://ucigcc.org/wp-content/uploads/2024/04/Ahlers-CCP-04.01.24.pdf" TargetMode="External"/><Relationship Id="rId14" Type="http://schemas.openxmlformats.org/officeDocument/2006/relationships/hyperlink" Target="https://doi.org/10.1007/s10734-023-01014-y" TargetMode="External"/><Relationship Id="rId15" Type="http://schemas.openxmlformats.org/officeDocument/2006/relationships/hyperlink" Target="https://library.oapen.org/handle/20.500.12657/108372" TargetMode="External"/><Relationship Id="rId16" Type="http://schemas.openxmlformats.org/officeDocument/2006/relationships/hyperlink" Target="https://doi.org/10.1093/icc/2.2.157" TargetMode="External"/><Relationship Id="rId17" Type="http://schemas.openxmlformats.org/officeDocument/2006/relationships/hyperlink" Target="https://doi.org/10.1287/orsc.1040.0094" TargetMode="External"/><Relationship Id="rId18" Type="http://schemas.openxmlformats.org/officeDocument/2006/relationships/hyperlink" Target="https://doi.org/10.1111/tran.70027" TargetMode="External"/><Relationship Id="rId19" Type="http://schemas.openxmlformats.org/officeDocument/2006/relationships/hyperlink" Target="https://doi.org/10.1177/03091325221096179" TargetMode="External"/><Relationship Id="rId20" Type="http://schemas.openxmlformats.org/officeDocument/2006/relationships/hyperlink" Target="https://doi.org/10.1080/23792949.2022.2092018" TargetMode="External"/><Relationship Id="rId21" Type="http://schemas.openxmlformats.org/officeDocument/2006/relationships/hyperlink" Target="https://doi.org/10.2307/2393553" TargetMode="External"/><Relationship Id="rId22" Type="http://schemas.openxmlformats.org/officeDocument/2006/relationships/hyperlink" Target="https://doi.org/10.1177/0306312702032002003" TargetMode="External"/><Relationship Id="rId23" Type="http://schemas.openxmlformats.org/officeDocument/2006/relationships/hyperlink" Target="https://doi.org/10.1080/01972243.2024.2317060" TargetMode="External"/><Relationship Id="rId24" Type="http://schemas.openxmlformats.org/officeDocument/2006/relationships/hyperlink" Target="https://doi.org/10.1177/0263276407075954" TargetMode="External"/><Relationship Id="rId25" Type="http://schemas.openxmlformats.org/officeDocument/2006/relationships/hyperlink" Target="https://doi.org/10.1177/016224390102600401" TargetMode="External"/><Relationship Id="rId26" Type="http://schemas.openxmlformats.org/officeDocument/2006/relationships/hyperlink" Target="https://doi.org/10.1002/smj.332" TargetMode="External"/><Relationship Id="rId27" Type="http://schemas.openxmlformats.org/officeDocument/2006/relationships/hyperlink" Target="https://doi.org/10.1177/030631289019003001" TargetMode="External"/><Relationship Id="rId28" Type="http://schemas.openxmlformats.org/officeDocument/2006/relationships/hyperlink" Target="https://doi.org/10.1002/smj.4250171105" TargetMode="External"/><Relationship Id="rId29" Type="http://schemas.openxmlformats.org/officeDocument/2006/relationships/hyperlink" Target="https://doi.org/10.5465/AMR.1991.4278992" TargetMode="External"/><Relationship Id="rId30" Type="http://schemas.openxmlformats.org/officeDocument/2006/relationships/hyperlink" Target="https://initkoa.org/platforms/konnaxion/technical/konnaxion-technical-architecture-and-services" TargetMode="External"/><Relationship Id="rId31" Type="http://schemas.openxmlformats.org/officeDocument/2006/relationships/hyperlink" Target="https://github.com/Rejean-McCormick/kOA_Digital_Ecosystem" TargetMode="External"/><Relationship Id="rId32" Type="http://schemas.openxmlformats.org/officeDocument/2006/relationships/hyperlink" Target="https://initkoa.org/technology/context-packs" TargetMode="External"/><Relationship Id="rId33" Type="http://schemas.openxmlformats.org/officeDocument/2006/relationships/hyperlink" Target="https://sciencesilkroad.mpiwg-berlin.mpg.de/" TargetMode="External"/><Relationship Id="rId34" Type="http://schemas.openxmlformats.org/officeDocument/2006/relationships/hyperlink" Target="https://github.com/Rejean-McCormi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Scientific Connections to Cumulative Capability</dc:title>
  <dc:subject>Articulation, Conversion Loss, and China’s Science Silk Road</dc:subject>
  <dc:creator>Réjean McCormick (François Jourdain)</dc:creator>
  <cp:keywords>Science Silk Road; Koali; capability articulation; conversion loss; scientific infrastructure; institutional memory</cp:keywords>
  <dc:description>Optimized submission manuscript</dc:description>
  <cp:lastModifiedBy/>
  <cp:revision>1</cp:revision>
  <dcterms:created xsi:type="dcterms:W3CDTF">2013-12-23T23:15:00Z</dcterms:created>
  <dcterms:modified xsi:type="dcterms:W3CDTF">2013-12-23T23:15:00Z</dcterms:modified>
  <cp:category/>
</cp:coreProperties>
</file>