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>Lean pre-coding sheet — 74/89</w:t>
      </w:r>
    </w:p>
    <w:p>
      <w:pPr/>
      <w:r>
        <w:rPr>
          <w:b/>
        </w:rPr>
        <w:t>Component:</w:t>
      </w:r>
      <w:r>
        <w:rPr/>
        <w:t xml:space="preserve"> </w:t>
      </w:r>
      <w:r>
        <w:rPr>
          <w:rFonts w:ascii="Roboto Mono" w:hAnsi="Roboto Mono"/>
          <w:color w:val="188038"/>
        </w:rPr>
        <w:t>tests/vm_tst_core.rs</w:t>
      </w:r>
      <w:r>
        <w:rPr/>
        <w:t xml:space="preserve"> (core engine tests)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>
          <w:b/>
        </w:rPr>
        <w:t>Goal:</w:t>
      </w:r>
      <w:r>
        <w:rPr/>
        <w:t xml:space="preserve"> Lock the </w:t>
      </w:r>
      <w:r>
        <w:rPr>
          <w:b/>
        </w:rPr>
        <w:t>baseline behaviors</w:t>
      </w:r>
      <w:r>
        <w:rPr/>
        <w:t xml:space="preserve"> of tabulation, allocation, gating denominators, and pipeline step order using the canonical </w:t>
      </w:r>
      <w:r>
        <w:rPr>
          <w:b/>
        </w:rPr>
        <w:t>Part 0</w:t>
      </w:r>
      <w:r>
        <w:rPr/>
        <w:t xml:space="preserve"> fixtures and the </w:t>
      </w:r>
      <w:r>
        <w:rPr>
          <w:b/>
        </w:rPr>
        <w:t>Doc 6A</w:t>
      </w:r>
      <w:r>
        <w:rPr/>
        <w:t xml:space="preserve"> core cases (VM-TST-001/002/003).</w:t>
        <w:br/>
      </w:r>
    </w:p>
    <w:p>
      <w:pPr/>
      <w:r>
        <w:rPr>
          <w:b/>
        </w:rPr>
        <w:t>Success:</w:t>
      </w:r>
      <w:r>
        <w:rPr/>
        <w:t xml:space="preserve"> Tests pass on Win/macOS/Linux with </w:t>
      </w:r>
      <w:r>
        <w:rPr>
          <w:b/>
        </w:rPr>
        <w:t>identical outputs</w:t>
      </w:r>
      <w:r>
        <w:rPr/>
        <w:t xml:space="preserve"> given the same inputs (no net I/O). Approvals use the </w:t>
      </w:r>
      <w:r>
        <w:rPr>
          <w:b/>
        </w:rPr>
        <w:t>approval-rate</w:t>
      </w:r>
      <w:r>
        <w:rPr/>
        <w:t xml:space="preserve"> denominator; PR/WTA allocations match the locked vectors.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>
          <w:b/>
        </w:rPr>
        <w:t>In:</w:t>
      </w:r>
      <w:r>
        <w:rPr/>
        <w:t xml:space="preserve"> Pipeline </w:t>
      </w:r>
      <w:r>
        <w:rPr>
          <w:b/>
        </w:rPr>
        <w:t>step order</w:t>
      </w:r>
      <w:r>
        <w:rPr/>
        <w:t xml:space="preserve">, tabulation for </w:t>
      </w:r>
      <w:r>
        <w:rPr>
          <w:b/>
        </w:rPr>
        <w:t>plurality/approval/score</w:t>
      </w:r>
      <w:r>
        <w:rPr/>
        <w:t xml:space="preserve"> (smoke), </w:t>
      </w:r>
      <w:r>
        <w:rPr>
          <w:b/>
        </w:rPr>
        <w:t>Sainte-Laguë</w:t>
      </w:r>
      <w:r>
        <w:rPr/>
        <w:t xml:space="preserve">, </w:t>
      </w:r>
      <w:r>
        <w:rPr>
          <w:b/>
        </w:rPr>
        <w:t>WTA</w:t>
      </w:r>
      <w:r>
        <w:rPr/>
        <w:t xml:space="preserve">, and </w:t>
      </w:r>
      <w:r>
        <w:rPr>
          <w:b/>
        </w:rPr>
        <w:t>method convergence</w:t>
      </w:r>
      <w:r>
        <w:rPr/>
        <w:t xml:space="preserve"> case; gating denominator rule.</w:t>
        <w:br/>
      </w:r>
    </w:p>
    <w:p>
      <w:pPr/>
      <w:r>
        <w:rPr>
          <w:b/>
        </w:rPr>
        <w:t>Out:</w:t>
      </w:r>
      <w:r>
        <w:rPr/>
        <w:t xml:space="preserve"> IRV/Condorcet details (covered in </w:t>
      </w:r>
      <w:r>
        <w:rPr>
          <w:rFonts w:ascii="Roboto Mono" w:hAnsi="Roboto Mono"/>
          <w:color w:val="188038"/>
        </w:rPr>
        <w:t>vm_tst_ranked.rs</w:t>
      </w:r>
      <w:r>
        <w:rPr/>
        <w:t xml:space="preserve">), MMP specifics (in </w:t>
      </w:r>
      <w:r>
        <w:rPr>
          <w:rFonts w:ascii="Roboto Mono" w:hAnsi="Roboto Mono"/>
          <w:color w:val="188038"/>
        </w:rPr>
        <w:t>vm_tst_mmp.rs</w:t>
      </w:r>
      <w:r>
        <w:rPr/>
        <w:t xml:space="preserve">), cross-OS byte hash checks (in </w:t>
      </w:r>
      <w:r>
        <w:rPr>
          <w:rFonts w:ascii="Roboto Mono" w:hAnsi="Roboto Mono"/>
          <w:color w:val="188038"/>
        </w:rPr>
        <w:t>determinism.rs</w:t>
      </w:r>
      <w:r>
        <w:rPr/>
        <w:t>).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</w:t>
      </w:r>
    </w:p>
    <w:p>
      <w:pPr/>
      <w:r>
        <w:rPr>
          <w:b/>
        </w:rPr>
        <w:t>Inputs:</w:t>
      </w:r>
      <w:r>
        <w:rPr/>
        <w:t xml:space="preserve"> Part 0 fixtures: </w:t>
      </w:r>
      <w:r>
        <w:rPr>
          <w:rFonts w:ascii="Roboto Mono" w:hAnsi="Roboto Mono"/>
          <w:color w:val="188038"/>
        </w:rPr>
        <w:t>division_registry.json</w:t>
      </w:r>
      <w:r>
        <w:rPr/>
        <w:t xml:space="preserve">, </w:t>
      </w:r>
      <w:r>
        <w:rPr>
          <w:rFonts w:ascii="Roboto Mono" w:hAnsi="Roboto Mono"/>
          <w:color w:val="188038"/>
        </w:rPr>
        <w:t>ballots.json</w:t>
      </w:r>
      <w:r>
        <w:rPr/>
        <w:t xml:space="preserve"> (or tally variant), </w:t>
      </w:r>
      <w:r>
        <w:rPr>
          <w:rFonts w:ascii="Roboto Mono" w:hAnsi="Roboto Mono"/>
          <w:color w:val="188038"/>
        </w:rPr>
        <w:t>parameter_set.json</w:t>
      </w:r>
      <w:r>
        <w:rPr/>
        <w:t xml:space="preserve">; optional </w:t>
      </w:r>
      <w:r>
        <w:rPr>
          <w:rFonts w:ascii="Roboto Mono" w:hAnsi="Roboto Mono"/>
          <w:color w:val="188038"/>
        </w:rPr>
        <w:t>manifest.json</w:t>
      </w:r>
      <w:r>
        <w:rPr/>
        <w:t xml:space="preserve"> for manifest-mode run.</w:t>
        <w:br/>
      </w:r>
    </w:p>
    <w:p>
      <w:pPr/>
      <w:r>
        <w:rPr>
          <w:b/>
        </w:rPr>
        <w:t>Outputs (asserted):</w:t>
      </w:r>
      <w:r>
        <w:rPr/>
        <w:t xml:space="preserve"> allocations by option, quorum/majority values &amp; pass/fail, </w:t>
      </w:r>
      <w:r>
        <w:rPr>
          <w:b/>
        </w:rPr>
        <w:t>approval-rate</w:t>
      </w:r>
      <w:r>
        <w:rPr/>
        <w:t xml:space="preserve"> support %, and final </w:t>
      </w:r>
      <w:r>
        <w:rPr>
          <w:b/>
        </w:rPr>
        <w:t>label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(used/assumed)</w:t>
      </w:r>
    </w:p>
    <w:p>
      <w:pPr/>
      <w:r>
        <w:rPr/>
        <w:t xml:space="preserve">Use </w:t>
      </w:r>
      <w:r>
        <w:rPr>
          <w:b/>
        </w:rPr>
        <w:t>Doc 2</w:t>
      </w:r>
      <w:r>
        <w:rPr/>
        <w:t xml:space="preserve"> defaults unless a test overrides: </w:t>
      </w:r>
      <w:r>
        <w:rPr>
          <w:rFonts w:ascii="Roboto Mono" w:hAnsi="Roboto Mono"/>
          <w:color w:val="188038"/>
        </w:rPr>
        <w:t>VM-VAR-001</w:t>
      </w:r>
      <w:r>
        <w:rPr/>
        <w:t xml:space="preserve"> ballot type, </w:t>
      </w:r>
      <w:r>
        <w:rPr>
          <w:rFonts w:ascii="Roboto Mono" w:hAnsi="Roboto Mono"/>
          <w:color w:val="188038"/>
        </w:rPr>
        <w:t>010</w:t>
      </w:r>
      <w:r>
        <w:rPr/>
        <w:t xml:space="preserve"> allocation, </w:t>
      </w:r>
      <w:r>
        <w:rPr>
          <w:rFonts w:ascii="Roboto Mono" w:hAnsi="Roboto Mono"/>
          <w:color w:val="188038"/>
        </w:rPr>
        <w:t>012</w:t>
      </w:r>
      <w:r>
        <w:rPr/>
        <w:t xml:space="preserve"> PR threshold, </w:t>
      </w:r>
      <w:r>
        <w:rPr>
          <w:rFonts w:ascii="Roboto Mono" w:hAnsi="Roboto Mono"/>
          <w:color w:val="188038"/>
        </w:rPr>
        <w:t>020/022/023</w:t>
      </w:r>
      <w:r>
        <w:rPr/>
        <w:t xml:space="preserve"> gates, </w:t>
      </w:r>
      <w:r>
        <w:rPr>
          <w:rFonts w:ascii="Roboto Mono" w:hAnsi="Roboto Mono"/>
          <w:color w:val="188038"/>
        </w:rPr>
        <w:t>030/031</w:t>
      </w:r>
      <w:r>
        <w:rPr/>
        <w:t xml:space="preserve"> aggregation, tie policy </w:t>
      </w:r>
      <w:r>
        <w:rPr>
          <w:rFonts w:ascii="Roboto Mono" w:hAnsi="Roboto Mono"/>
          <w:color w:val="188038"/>
        </w:rPr>
        <w:t>050</w:t>
      </w:r>
      <w:r>
        <w:rPr/>
        <w:t xml:space="preserve">, RNG </w:t>
      </w:r>
      <w:r>
        <w:rPr>
          <w:rFonts w:ascii="Roboto Mono" w:hAnsi="Roboto Mono"/>
          <w:color w:val="188038"/>
        </w:rPr>
        <w:t>052</w:t>
      </w:r>
      <w:r>
        <w:rPr/>
        <w:t xml:space="preserve"> (not used in core cases).</w:t>
        <w:br/>
      </w:r>
    </w:p>
    <w:p>
      <w:pPr>
        <w:pStyle w:val="Heading2"/>
      </w:pPr>
      <w:r>
        <w:rPr>
          <w:b/>
          <w:sz w:val="34"/>
        </w:rPr>
        <w:t>6) Functions (test signatures only)</w:t>
      </w:r>
    </w:p>
    <w:p>
      <w:pPr/>
      <w:r>
        <w:rPr/>
        <w:t>rust</w:t>
      </w:r>
    </w:p>
    <w:p>
      <w:pPr/>
      <w:r>
        <w:rPr/>
        <w:t>CopyEdit</w:t>
      </w:r>
    </w:p>
    <w:p>
      <w:pPr/>
      <w:r>
        <w:rPr>
          <w:rFonts w:ascii="Roboto Mono" w:hAnsi="Roboto Mono"/>
          <w:color w:val="188038"/>
        </w:rPr>
        <w:t>#[test] fn vm_tst_001_pr_baseline_sainte_lague();</w:t>
      </w:r>
    </w:p>
    <w:p>
      <w:pPr/>
      <w:r>
        <w:rPr>
          <w:rFonts w:ascii="Roboto Mono" w:hAnsi="Roboto Mono"/>
          <w:color w:val="188038"/>
        </w:rPr>
        <w:t>#[test] fn vm_tst_002_wta_winner_take_all_m1();</w:t>
      </w:r>
    </w:p>
    <w:p>
      <w:pPr/>
      <w:r>
        <w:rPr>
          <w:rFonts w:ascii="Roboto Mono" w:hAnsi="Roboto Mono"/>
          <w:color w:val="188038"/>
        </w:rPr>
        <w:t>#[test] fn vm_tst_003_method_convergence_lr_vs_ha();</w:t>
      </w:r>
    </w:p>
    <w:p>
      <w:pPr/>
      <w:r>
        <w:rPr>
          <w:rFonts w:ascii="Roboto Mono" w:hAnsi="Roboto Mono"/>
          <w:color w:val="188038"/>
        </w:rPr>
        <w:t>#[test] fn vm_tst_004_gate_denominator_approval_rate();</w:t>
      </w:r>
    </w:p>
    <w:p>
      <w:pPr/>
      <w:r>
        <w:rPr>
          <w:rFonts w:ascii="Roboto Mono" w:hAnsi="Roboto Mono"/>
          <w:color w:val="188038"/>
        </w:rPr>
        <w:t>#[test] fn vm_tst_005_pipeline_order_and_stop_rules();</w:t>
      </w:r>
    </w:p>
    <w:p>
      <w:pPr/>
      <w:r>
        <w:rPr/>
      </w:r>
    </w:p>
    <w:p>
      <w:pPr/>
      <w:r>
        <w:rPr/>
        <w:t>(Names mirror Doc 6A and step-order rules.)</w:t>
      </w:r>
    </w:p>
    <w:p>
      <w:pPr>
        <w:pStyle w:val="Heading2"/>
      </w:pPr>
      <w:r>
        <w:rPr>
          <w:b/>
          <w:sz w:val="34"/>
        </w:rPr>
        <w:t>7) Test logic (bullet outline)</w:t>
      </w:r>
    </w:p>
    <w:p>
      <w:pPr/>
      <w:r>
        <w:rPr>
          <w:b/>
        </w:rPr>
        <w:t>VM-TST-001 (PR baseline):</w:t>
      </w:r>
      <w:r>
        <w:rPr/>
        <w:t xml:space="preserve"> One national unit, </w:t>
      </w:r>
      <w:r>
        <w:rPr>
          <w:rFonts w:ascii="Roboto Mono" w:hAnsi="Roboto Mono"/>
          <w:color w:val="188038"/>
        </w:rPr>
        <w:t>m=10</w:t>
      </w:r>
      <w:r>
        <w:rPr/>
        <w:t xml:space="preserve">, approvals A=10,B=20,C=30,D=40; expect seats </w:t>
      </w:r>
      <w:r>
        <w:rPr>
          <w:b/>
        </w:rPr>
        <w:t>1/2/3/4</w:t>
      </w:r>
      <w:r>
        <w:rPr/>
        <w:t xml:space="preserve"> (A/B/C/D). Label </w:t>
      </w:r>
      <w:r>
        <w:rPr>
          <w:b/>
        </w:rPr>
        <w:t>Decisive</w:t>
      </w:r>
      <w:r>
        <w:rPr/>
        <w:t>.</w:t>
        <w:br/>
      </w:r>
    </w:p>
    <w:p>
      <w:pPr/>
      <w:r>
        <w:rPr>
          <w:b/>
        </w:rPr>
        <w:t>VM-TST-002 (WTA):</w:t>
      </w:r>
      <w:r>
        <w:rPr/>
        <w:t xml:space="preserve"> </w:t>
      </w:r>
      <w:r>
        <w:rPr>
          <w:rFonts w:ascii="Roboto Mono" w:hAnsi="Roboto Mono"/>
          <w:color w:val="188038"/>
        </w:rPr>
        <w:t>ballot_type=plurality</w:t>
      </w:r>
      <w:r>
        <w:rPr/>
        <w:t xml:space="preserve">, </w:t>
      </w:r>
      <w:r>
        <w:rPr>
          <w:rFonts w:ascii="Roboto Mono" w:hAnsi="Roboto Mono"/>
          <w:color w:val="188038"/>
        </w:rPr>
        <w:t>allocation_method=winner_take_all</w:t>
      </w:r>
      <w:r>
        <w:rPr/>
        <w:t xml:space="preserve">, </w:t>
      </w:r>
      <w:r>
        <w:rPr>
          <w:rFonts w:ascii="Roboto Mono" w:hAnsi="Roboto Mono"/>
          <w:color w:val="188038"/>
        </w:rPr>
        <w:t>m=1</w:t>
      </w:r>
      <w:r>
        <w:rPr/>
        <w:t xml:space="preserve">; winner </w:t>
      </w:r>
      <w:r>
        <w:rPr>
          <w:b/>
        </w:rPr>
        <w:t>D</w:t>
      </w:r>
      <w:r>
        <w:rPr/>
        <w:t xml:space="preserve">, 100% power. Enforce </w:t>
      </w:r>
      <w:r>
        <w:rPr>
          <w:b/>
        </w:rPr>
        <w:t>m=1</w:t>
      </w:r>
      <w:r>
        <w:rPr/>
        <w:t xml:space="preserve"> constraint.</w:t>
        <w:br/>
      </w:r>
    </w:p>
    <w:p>
      <w:pPr/>
      <w:r>
        <w:rPr>
          <w:b/>
        </w:rPr>
        <w:t>VM-TST-003 (convergence):</w:t>
      </w:r>
      <w:r>
        <w:rPr/>
        <w:t xml:space="preserve"> </w:t>
      </w:r>
      <w:r>
        <w:rPr>
          <w:rFonts w:ascii="Roboto Mono" w:hAnsi="Roboto Mono"/>
          <w:color w:val="188038"/>
        </w:rPr>
        <w:t>m=7</w:t>
      </w:r>
      <w:r>
        <w:rPr>
          <w:rFonts w:ascii="Arial Unicode MS" w:hAnsi="Arial Unicode MS"/>
        </w:rPr>
        <w:t>, shares 34/33/33 for A/B/C. Run three methods: LR, Sainte-Laguë, D’Hondt → same seat vector (locked case).</w:t>
        <w:br/>
      </w:r>
    </w:p>
    <w:p>
      <w:pPr/>
      <w:r>
        <w:rPr>
          <w:b/>
        </w:rPr>
        <w:t>VM-TST-004 (approval gate denominator):</w:t>
      </w:r>
      <w:r>
        <w:rPr/>
        <w:t xml:space="preserve"> With </w:t>
      </w:r>
      <w:r>
        <w:rPr>
          <w:rFonts w:ascii="Roboto Mono" w:hAnsi="Roboto Mono"/>
          <w:color w:val="188038"/>
        </w:rPr>
        <w:t>ballot_type=approval</w:t>
      </w:r>
      <w:r>
        <w:rPr/>
        <w:t xml:space="preserve">, assert </w:t>
      </w:r>
      <w:r>
        <w:rPr>
          <w:b/>
        </w:rPr>
        <w:t>support %</w:t>
      </w:r>
      <w:r>
        <w:rPr/>
        <w:t xml:space="preserve"> computed as </w:t>
      </w:r>
      <w:r>
        <w:rPr>
          <w:rFonts w:ascii="Roboto Mono" w:hAnsi="Roboto Mono"/>
          <w:color w:val="188038"/>
        </w:rPr>
        <w:t>approvals_for_change / valid_ballots</w:t>
      </w:r>
      <w:r>
        <w:rPr/>
        <w:t xml:space="preserve"> (not approvals share). Cross-check against panel value.</w:t>
        <w:br/>
      </w:r>
    </w:p>
    <w:p>
      <w:pPr/>
      <w:r>
        <w:rPr>
          <w:b/>
        </w:rPr>
        <w:t>VM-TST-005 (pipeline order/stop):</w:t>
      </w:r>
      <w:r>
        <w:rPr/>
        <w:t xml:space="preserve"> Force </w:t>
      </w:r>
      <w:r>
        <w:rPr>
          <w:b/>
        </w:rPr>
        <w:t>VALIDATE</w:t>
      </w:r>
      <w:r>
        <w:rPr>
          <w:rFonts w:ascii="Arial Unicode MS" w:hAnsi="Arial Unicode MS"/>
        </w:rPr>
        <w:t xml:space="preserve"> failure → ensure pipeline skips 3–8, still packages </w:t>
      </w:r>
      <w:r>
        <w:rPr>
          <w:b/>
        </w:rPr>
        <w:t>Invalid</w:t>
      </w:r>
      <w:r>
        <w:rPr/>
        <w:t xml:space="preserve"> Result/RunRecord with reasons. Force </w:t>
      </w:r>
      <w:r>
        <w:rPr>
          <w:b/>
        </w:rPr>
        <w:t>gates fail</w:t>
      </w:r>
      <w:r>
        <w:rPr>
          <w:rFonts w:ascii="Arial Unicode MS" w:hAnsi="Arial Unicode MS"/>
        </w:rPr>
        <w:t xml:space="preserve"> path → </w:t>
      </w:r>
      <w:r>
        <w:rPr>
          <w:b/>
        </w:rPr>
        <w:t>Invalid</w:t>
      </w:r>
      <w:r>
        <w:rPr/>
        <w:t xml:space="preserve">, </w:t>
      </w:r>
      <w:r>
        <w:rPr>
          <w:b/>
        </w:rPr>
        <w:t>skip Frontier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8) State flow (very short)</w:t>
      </w:r>
    </w:p>
    <w:p>
      <w:pPr/>
      <w:r>
        <w:rPr/>
        <w:t xml:space="preserve">Tests drive CLI/library to execute </w:t>
      </w:r>
      <w:r>
        <w:rPr>
          <w:rFonts w:ascii="Arial Unicode MS" w:hAnsi="Arial Unicode MS"/>
          <w:b/>
        </w:rPr>
        <w:t>LOAD→…→BUILD_RUN_RECORD</w:t>
      </w:r>
      <w:r>
        <w:rPr/>
        <w:t xml:space="preserve"> and assert </w:t>
      </w:r>
      <w:r>
        <w:rPr>
          <w:b/>
        </w:rPr>
        <w:t>stop/continue</w:t>
      </w:r>
      <w:r>
        <w:rPr/>
        <w:t xml:space="preserve"> semantics per Doc 5.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Integers/rational comparisons; </w:t>
      </w:r>
      <w:r>
        <w:rPr>
          <w:b/>
        </w:rPr>
        <w:t>round-half-even</w:t>
      </w:r>
      <w:r>
        <w:rPr/>
        <w:t xml:space="preserve"> only at defined points; </w:t>
      </w:r>
      <w:r>
        <w:rPr>
          <w:b/>
        </w:rPr>
        <w:t>one-decimal</w:t>
      </w:r>
      <w:r>
        <w:rPr/>
        <w:t xml:space="preserve"> applies in reports, not in these assertions (use exact internal numbers). Stable orders: Units by ID; Options by </w:t>
      </w:r>
      <w:r>
        <w:rPr>
          <w:rFonts w:ascii="Roboto Mono" w:hAnsi="Roboto Mono"/>
          <w:color w:val="188038"/>
        </w:rPr>
        <w:t>order_index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>
          <w:rFonts w:ascii="Arial Unicode MS" w:hAnsi="Arial Unicode MS"/>
        </w:rPr>
        <w:t xml:space="preserve">If a seat sum ≠ </w:t>
      </w:r>
      <w:r>
        <w:rPr>
          <w:rFonts w:ascii="Roboto Mono" w:hAnsi="Roboto Mono"/>
          <w:color w:val="188038"/>
        </w:rPr>
        <w:t>Unit.magnitude</w:t>
      </w:r>
      <w:r>
        <w:rPr>
          <w:rFonts w:ascii="Arial Unicode MS" w:hAnsi="Arial Unicode MS"/>
        </w:rPr>
        <w:t xml:space="preserve"> (PR) or WTA ≠ 100%: fail with clear diff.</w:t>
        <w:br/>
      </w:r>
    </w:p>
    <w:p>
      <w:pPr/>
      <w:r>
        <w:rPr/>
        <w:t>If approval panel uses the wrong denominator or double-rounds: fail and print the raw numerators/denominators.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/>
        <w:t xml:space="preserve">All three </w:t>
      </w:r>
      <w:r>
        <w:rPr>
          <w:b/>
        </w:rPr>
        <w:t>Doc 6A</w:t>
      </w:r>
      <w:r>
        <w:rPr/>
        <w:t xml:space="preserve"> allocation cases match expected vectors and labels.</w:t>
        <w:br/>
      </w:r>
    </w:p>
    <w:p>
      <w:pPr/>
      <w:r>
        <w:rPr/>
        <w:t xml:space="preserve">Gate panel shows approval </w:t>
      </w:r>
      <w:r>
        <w:rPr>
          <w:b/>
        </w:rPr>
        <w:t>support %</w:t>
      </w:r>
      <w:r>
        <w:rPr/>
        <w:t xml:space="preserve"> per fixed rule.</w:t>
        <w:br/>
      </w:r>
    </w:p>
    <w:p>
      <w:pPr/>
      <w:r>
        <w:rPr/>
        <w:t xml:space="preserve">Pipeline stop/continue behavior matches Doc 5; </w:t>
      </w:r>
      <w:r>
        <w:rPr>
          <w:b/>
        </w:rPr>
        <w:t>Invalid</w:t>
      </w:r>
      <w:r>
        <w:rPr/>
        <w:t xml:space="preserve"> path still packages artifacts.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