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xrl1bf2l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Addendum – Integration &amp; Cross-Reference Notes for Doc 2B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n21222egxrni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Purpose in the 3-Part Variable Structure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 2B occupies the </w:t>
      </w:r>
      <w:r w:rsidDel="00000000" w:rsidR="00000000" w:rsidRPr="00000000">
        <w:rPr>
          <w:b w:val="1"/>
          <w:rtl w:val="0"/>
        </w:rPr>
        <w:t xml:space="preserve">middle layer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i w:val="1"/>
          <w:rtl w:val="0"/>
        </w:rPr>
        <w:t xml:space="preserve">Common Variables</w:t>
      </w:r>
      <w:r w:rsidDel="00000000" w:rsidR="00000000" w:rsidRPr="00000000">
        <w:rPr>
          <w:rtl w:val="0"/>
        </w:rPr>
        <w:t xml:space="preserve"> specification: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Universal core variables, essential for all runs (ballot, allocation, thresholds, weighting).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Operational defaults that most scenarios will use without modification; facilitate reproducibility and a consistent user experience.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Advanced/special-case variables, exceptions, and experimental features.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separation avoids overloading </w:t>
      </w:r>
      <w:r w:rsidDel="00000000" w:rsidR="00000000" w:rsidRPr="00000000">
        <w:rPr>
          <w:b w:val="1"/>
          <w:rtl w:val="0"/>
        </w:rPr>
        <w:t xml:space="preserve">2A</w:t>
      </w:r>
      <w:r w:rsidDel="00000000" w:rsidR="00000000" w:rsidRPr="00000000">
        <w:rPr>
          <w:rtl w:val="0"/>
        </w:rPr>
        <w:t xml:space="preserve"> with presentation/configuration items and keeps </w:t>
      </w:r>
      <w:r w:rsidDel="00000000" w:rsidR="00000000" w:rsidRPr="00000000">
        <w:rPr>
          <w:b w:val="1"/>
          <w:rtl w:val="0"/>
        </w:rPr>
        <w:t xml:space="preserve">2C</w:t>
      </w:r>
      <w:r w:rsidDel="00000000" w:rsidR="00000000" w:rsidRPr="00000000">
        <w:rPr>
          <w:rtl w:val="0"/>
        </w:rPr>
        <w:t xml:space="preserve"> focused solely on exceptional logic.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99qx15u39g1v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Integration Points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lc18vv0jb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Algorithm Layer (Docs 4A–4C)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 handling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tie_policy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tie_seed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Doc 4C §Tie Resolution.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 defaults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contiguity_modes_default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island_rule_default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protected_area_policy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per_unit_quorum_scope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Doc 4C §Frontier Rules.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51bmp7x9n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Pipeline Layer (Docs 5A–5C)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Default map &amp; sensitivity toggles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frontier_map_enabled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sensitivity_analysis_enabled</w:t>
      </w:r>
      <w:r w:rsidDel="00000000" w:rsidR="00000000" w:rsidRPr="00000000">
        <w:rPr>
          <w:rtl w:val="0"/>
        </w:rPr>
        <w:t xml:space="preserve">) influence </w:t>
      </w:r>
      <w:r w:rsidDel="00000000" w:rsidR="00000000" w:rsidRPr="00000000">
        <w:rPr>
          <w:b w:val="1"/>
          <w:rtl w:val="0"/>
        </w:rPr>
        <w:t xml:space="preserve">pipeline branching</w:t>
      </w:r>
      <w:r w:rsidDel="00000000" w:rsidR="00000000" w:rsidRPr="00000000">
        <w:rPr>
          <w:rtl w:val="0"/>
        </w:rPr>
        <w:t xml:space="preserve"> in Doc 5A.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unit_sort_order</w:t>
      </w:r>
      <w:r w:rsidDel="00000000" w:rsidR="00000000" w:rsidRPr="00000000">
        <w:rPr>
          <w:rtl w:val="0"/>
        </w:rPr>
        <w:t xml:space="preserve"> defines ordering rules for artifacts such as </w:t>
      </w: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AggregateResults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LegitimacyReport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599klspir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 Layer (Docs 7A–7B)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Presentation defaults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report_precision_decimals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aggregate_display_mode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unit_display_language</w:t>
      </w:r>
      <w:r w:rsidDel="00000000" w:rsidR="00000000" w:rsidRPr="00000000">
        <w:rPr>
          <w:rtl w:val="0"/>
        </w:rPr>
        <w:t xml:space="preserve">) apply to all textual and visual output.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 thresholds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default_majority_label_threshold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decisiveness_label_policy</w:t>
      </w:r>
      <w:r w:rsidDel="00000000" w:rsidR="00000000" w:rsidRPr="00000000">
        <w:rPr>
          <w:rtl w:val="0"/>
        </w:rPr>
        <w:t xml:space="preserve">) affect Legitimacy Panel and Outcome sections.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3alwym8q6rzb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Versioning &amp; Change Control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VM-VAR-032..046</w:t>
      </w:r>
      <w:r w:rsidDel="00000000" w:rsidR="00000000" w:rsidRPr="00000000">
        <w:rPr>
          <w:rtl w:val="0"/>
        </w:rPr>
        <w:t xml:space="preserve"> must be </w:t>
      </w:r>
      <w:r w:rsidDel="00000000" w:rsidR="00000000" w:rsidRPr="00000000">
        <w:rPr>
          <w:b w:val="1"/>
          <w:rtl w:val="0"/>
        </w:rPr>
        <w:t xml:space="preserve">stable IDs</w:t>
      </w:r>
      <w:r w:rsidDel="00000000" w:rsidR="00000000" w:rsidRPr="00000000">
        <w:rPr>
          <w:rtl w:val="0"/>
        </w:rPr>
        <w:t xml:space="preserve"> and included in the parameter set export for every run.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to defaults must increment the </w:t>
      </w:r>
      <w:r w:rsidDel="00000000" w:rsidR="00000000" w:rsidRPr="00000000">
        <w:rPr>
          <w:b w:val="1"/>
          <w:rtl w:val="0"/>
        </w:rPr>
        <w:t xml:space="preserve">Formula ID</w:t>
      </w:r>
      <w:r w:rsidDel="00000000" w:rsidR="00000000" w:rsidRPr="00000000">
        <w:rPr>
          <w:rtl w:val="0"/>
        </w:rPr>
        <w:t xml:space="preserve"> (Doc 3B release rules) to avoid silent shifts in interpretation.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2B</w:t>
      </w:r>
      <w:r w:rsidDel="00000000" w:rsidR="00000000" w:rsidRPr="00000000">
        <w:rPr>
          <w:rtl w:val="0"/>
        </w:rPr>
        <w:t xml:space="preserve"> defaults differ between forks, those differences must be </w:t>
      </w:r>
      <w:r w:rsidDel="00000000" w:rsidR="00000000" w:rsidRPr="00000000">
        <w:rPr>
          <w:i w:val="1"/>
          <w:rtl w:val="0"/>
        </w:rPr>
        <w:t xml:space="preserve">explicitly printed</w:t>
      </w:r>
      <w:r w:rsidDel="00000000" w:rsidR="00000000" w:rsidRPr="00000000">
        <w:rPr>
          <w:rtl w:val="0"/>
        </w:rPr>
        <w:t xml:space="preserve"> in the report footer (Doc 7A §Integrity).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awed7pmf26xy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Rationale for Separation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defaults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unit_display_language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unit_sort_order</w:t>
      </w:r>
      <w:r w:rsidDel="00000000" w:rsidR="00000000" w:rsidRPr="00000000">
        <w:rPr>
          <w:rtl w:val="0"/>
        </w:rPr>
        <w:t xml:space="preserve">) should not be conflated with </w:t>
      </w:r>
      <w:r w:rsidDel="00000000" w:rsidR="00000000" w:rsidRPr="00000000">
        <w:rPr>
          <w:i w:val="1"/>
          <w:rtl w:val="0"/>
        </w:rPr>
        <w:t xml:space="preserve">political parameters</w:t>
      </w:r>
      <w:r w:rsidDel="00000000" w:rsidR="00000000" w:rsidRPr="00000000">
        <w:rPr>
          <w:rtl w:val="0"/>
        </w:rPr>
        <w:t xml:space="preserve"> (e.g., ballot type) or </w:t>
      </w:r>
      <w:r w:rsidDel="00000000" w:rsidR="00000000" w:rsidRPr="00000000">
        <w:rPr>
          <w:i w:val="1"/>
          <w:rtl w:val="0"/>
        </w:rPr>
        <w:t xml:space="preserve">legal exceptions</w:t>
      </w:r>
      <w:r w:rsidDel="00000000" w:rsidR="00000000" w:rsidRPr="00000000">
        <w:rPr>
          <w:rtl w:val="0"/>
        </w:rPr>
        <w:t xml:space="preserve"> (e.g., island rules with special status).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separation ensures negotiating parties can agree on a </w:t>
      </w:r>
      <w:r w:rsidDel="00000000" w:rsidR="00000000" w:rsidRPr="00000000">
        <w:rPr>
          <w:b w:val="1"/>
          <w:rtl w:val="0"/>
        </w:rPr>
        <w:t xml:space="preserve">stable operational baseline</w:t>
      </w:r>
      <w:r w:rsidDel="00000000" w:rsidR="00000000" w:rsidRPr="00000000">
        <w:rPr>
          <w:rtl w:val="0"/>
        </w:rPr>
        <w:t xml:space="preserve"> (2B) while still debating core rules (2A) and exceptional provisions (2C) independently.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mqpvu4gyqq2y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Dependency Summary</w:t>
      </w:r>
    </w:p>
    <w:tbl>
      <w:tblPr>
        <w:tblStyle w:val="Table1"/>
        <w:tblW w:w="6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2630"/>
        <w:gridCol w:w="1565"/>
        <w:tblGridChange w:id="0">
          <w:tblGrid>
            <w:gridCol w:w="1820"/>
            <w:gridCol w:w="2630"/>
            <w:gridCol w:w="1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Consumed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Related 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032–033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Tie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4C, 5B, 6C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034–039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Reports, pipeline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7A, 7B, 5A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040–041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Frontier defaults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4C, 7B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042–043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Gates &amp; quorum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4C, 5A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044–046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Labels &amp;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7A, 7B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this </w:t>
      </w:r>
      <w:r w:rsidDel="00000000" w:rsidR="00000000" w:rsidRPr="00000000">
        <w:rPr>
          <w:b w:val="1"/>
          <w:rtl w:val="0"/>
        </w:rPr>
        <w:t xml:space="preserve">addendum</w:t>
      </w:r>
      <w:r w:rsidDel="00000000" w:rsidR="00000000" w:rsidRPr="00000000">
        <w:rPr>
          <w:rtl w:val="0"/>
        </w:rPr>
        <w:t xml:space="preserve">, Doc 2B is fully integrated into the design and the cross-reference chain is closed. This also ensures </w:t>
      </w:r>
      <w:r w:rsidDel="00000000" w:rsidR="00000000" w:rsidRPr="00000000">
        <w:rPr>
          <w:b w:val="1"/>
          <w:rtl w:val="0"/>
        </w:rPr>
        <w:t xml:space="preserve">no future variable will “float” without a clear home</w:t>
      </w:r>
      <w:r w:rsidDel="00000000" w:rsidR="00000000" w:rsidRPr="00000000">
        <w:rPr>
          <w:rtl w:val="0"/>
        </w:rPr>
        <w:t xml:space="preserve"> between core, default, and advanced settings.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