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LICENSE</w:t>
      </w:r>
      <w:r>
        <w:rPr>
          <w:b/>
          <w:sz w:val="46"/>
        </w:rPr>
        <w:t>, Version/FormulaID: VM-ENGINE v0) — 10/89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Choose and apply clear, compatible licensing for </w:t>
      </w:r>
      <w:r>
        <w:rPr>
          <w:b/>
        </w:rPr>
        <w:t>code, docs/specs, schemas, fixtures, and assets</w:t>
      </w:r>
      <w:r>
        <w:rPr/>
        <w:t xml:space="preserve"> so downstream use is unambiguous and CI can enforce it.</w:t>
        <w:br/>
      </w:r>
    </w:p>
    <w:p>
      <w:pPr/>
      <w:r>
        <w:rPr/>
        <w:t xml:space="preserve">Success: Single </w:t>
      </w:r>
      <w:r>
        <w:rPr>
          <w:rFonts w:ascii="Roboto Mono" w:hAnsi="Roboto Mono"/>
          <w:color w:val="188038"/>
        </w:rPr>
        <w:t>LICENSE</w:t>
      </w:r>
      <w:r>
        <w:rPr/>
        <w:t xml:space="preserve"> (and </w:t>
      </w:r>
      <w:r>
        <w:rPr>
          <w:rFonts w:ascii="Roboto Mono" w:hAnsi="Roboto Mono"/>
          <w:color w:val="188038"/>
        </w:rPr>
        <w:t>NOTICE</w:t>
      </w:r>
      <w:r>
        <w:rPr/>
        <w:t xml:space="preserve"> if needed) covers code; separate notices clarify docs/data/assets; all files have SPDX headers; </w:t>
      </w:r>
      <w:r>
        <w:rPr>
          <w:rFonts w:ascii="Roboto Mono" w:hAnsi="Roboto Mono"/>
          <w:color w:val="188038"/>
        </w:rPr>
        <w:t>cargo-deny</w:t>
      </w:r>
      <w:r>
        <w:rPr/>
        <w:t xml:space="preserve"> (or equivalent) passes.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Top-level license for </w:t>
      </w:r>
      <w:r>
        <w:rPr>
          <w:b/>
        </w:rPr>
        <w:t>code</w:t>
      </w:r>
      <w:r>
        <w:rPr/>
        <w:t xml:space="preserve">, license statements for </w:t>
      </w:r>
      <w:r>
        <w:rPr>
          <w:b/>
        </w:rPr>
        <w:t>Docs 1–7 &amp; Annex A/B</w:t>
      </w:r>
      <w:r>
        <w:rPr/>
        <w:t xml:space="preserve">, </w:t>
      </w:r>
      <w:r>
        <w:rPr>
          <w:b/>
        </w:rPr>
        <w:t>schemas</w:t>
      </w:r>
      <w:r>
        <w:rPr/>
        <w:t xml:space="preserve">, </w:t>
      </w:r>
      <w:r>
        <w:rPr>
          <w:b/>
        </w:rPr>
        <w:t>fixtures</w:t>
      </w:r>
      <w:r>
        <w:rPr/>
        <w:t xml:space="preserve">, </w:t>
      </w:r>
      <w:r>
        <w:rPr>
          <w:b/>
        </w:rPr>
        <w:t>UI assets</w:t>
      </w:r>
      <w:r>
        <w:rPr/>
        <w:t xml:space="preserve"> (tiles/icons), third-party attributions.</w:t>
        <w:br/>
      </w:r>
    </w:p>
    <w:p>
      <w:pPr/>
      <w:r>
        <w:rPr/>
        <w:t>Out of scope: Dependency licenses (validated via tooling), contributor agreements.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Repository contents (</w:t>
      </w:r>
      <w:r>
        <w:rPr>
          <w:rFonts w:ascii="Roboto Mono" w:hAnsi="Roboto Mono"/>
          <w:color w:val="188038"/>
        </w:rPr>
        <w:t>crates/*</w:t>
      </w:r>
      <w:r>
        <w:rPr/>
        <w:t xml:space="preserve">, </w:t>
      </w:r>
      <w:r>
        <w:rPr>
          <w:rFonts w:ascii="Roboto Mono" w:hAnsi="Roboto Mono"/>
          <w:color w:val="188038"/>
        </w:rPr>
        <w:t>schemas/*</w:t>
      </w:r>
      <w:r>
        <w:rPr/>
        <w:t xml:space="preserve">, </w:t>
      </w:r>
      <w:r>
        <w:rPr>
          <w:rFonts w:ascii="Roboto Mono" w:hAnsi="Roboto Mono"/>
          <w:color w:val="188038"/>
        </w:rPr>
        <w:t>fixtures/*</w:t>
      </w:r>
      <w:r>
        <w:rPr/>
        <w:t xml:space="preserve">, </w:t>
      </w:r>
      <w:r>
        <w:rPr>
          <w:rFonts w:ascii="Roboto Mono" w:hAnsi="Roboto Mono"/>
          <w:color w:val="188038"/>
        </w:rPr>
        <w:t>docs/*</w:t>
      </w:r>
      <w:r>
        <w:rPr/>
        <w:t>, UI assets).</w:t>
        <w:br/>
      </w:r>
    </w:p>
    <w:p>
      <w:pPr/>
      <w:r>
        <w:rPr/>
        <w:t xml:space="preserve">Outputs: </w:t>
      </w:r>
      <w:r>
        <w:rPr>
          <w:rFonts w:ascii="Roboto Mono" w:hAnsi="Roboto Mono"/>
          <w:color w:val="188038"/>
        </w:rPr>
        <w:t>LICENSE</w:t>
      </w:r>
      <w:r>
        <w:rPr/>
        <w:t xml:space="preserve"> (primary), optional </w:t>
      </w:r>
      <w:r>
        <w:rPr>
          <w:rFonts w:ascii="Roboto Mono" w:hAnsi="Roboto Mono"/>
          <w:color w:val="188038"/>
        </w:rPr>
        <w:t>NOTICE</w:t>
      </w:r>
      <w:r>
        <w:rPr/>
        <w:t xml:space="preserve">, short per-folder </w:t>
      </w:r>
      <w:r>
        <w:rPr>
          <w:rFonts w:ascii="Roboto Mono" w:hAnsi="Roboto Mono"/>
          <w:color w:val="188038"/>
        </w:rPr>
        <w:t>LICENSE</w:t>
      </w:r>
      <w:r>
        <w:rPr/>
        <w:t xml:space="preserve"> or </w:t>
      </w:r>
      <w:r>
        <w:rPr>
          <w:rFonts w:ascii="Roboto Mono" w:hAnsi="Roboto Mono"/>
          <w:color w:val="188038"/>
        </w:rPr>
        <w:t>COPYING</w:t>
      </w:r>
      <w:r>
        <w:rPr/>
        <w:t xml:space="preserve"> files where license differs (schemas/fixtures/assets).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/>
      <w:r>
        <w:rPr>
          <w:i/>
        </w:rPr>
        <w:t>(Short, keywords only.)</w:t>
      </w:r>
    </w:p>
    <w:p>
      <w:pPr>
        <w:pStyle w:val="Heading2"/>
      </w:pPr>
      <w:r>
        <w:rPr>
          <w:b/>
          <w:sz w:val="34"/>
        </w:rPr>
        <w:t>5) Variables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(None.)</w:t>
        <w:br/>
      </w:r>
    </w:p>
    <w:p>
      <w:pPr>
        <w:pStyle w:val="Heading2"/>
      </w:pPr>
      <w:r>
        <w:rPr>
          <w:b/>
          <w:sz w:val="34"/>
        </w:rPr>
        <w:t>7) Algorithm Outline</w:t>
      </w:r>
    </w:p>
    <w:p>
      <w:pPr/>
      <w:r>
        <w:rPr>
          <w:b/>
        </w:rPr>
        <w:t>Pick code license</w:t>
      </w:r>
      <w:r>
        <w:rPr/>
        <w:t xml:space="preserve">: Dual license </w:t>
      </w:r>
      <w:r>
        <w:rPr>
          <w:rFonts w:ascii="Roboto Mono" w:hAnsi="Roboto Mono"/>
          <w:color w:val="188038"/>
        </w:rPr>
        <w:t>Apache-2.0 OR MIT</w:t>
      </w:r>
      <w:r>
        <w:rPr/>
        <w:t xml:space="preserve">. Write combined text in top-level </w:t>
      </w:r>
      <w:r>
        <w:rPr>
          <w:rFonts w:ascii="Roboto Mono" w:hAnsi="Roboto Mono"/>
          <w:color w:val="188038"/>
        </w:rPr>
        <w:t>LICENSE</w:t>
      </w:r>
      <w:r>
        <w:rPr/>
        <w:t xml:space="preserve"> (both), or </w:t>
      </w:r>
      <w:r>
        <w:rPr>
          <w:rFonts w:ascii="Roboto Mono" w:hAnsi="Roboto Mono"/>
          <w:color w:val="188038"/>
        </w:rPr>
        <w:t>LICENSE-APACHE</w:t>
      </w:r>
      <w:r>
        <w:rPr/>
        <w:t xml:space="preserve"> + </w:t>
      </w:r>
      <w:r>
        <w:rPr>
          <w:rFonts w:ascii="Roboto Mono" w:hAnsi="Roboto Mono"/>
          <w:color w:val="188038"/>
        </w:rPr>
        <w:t>LICENSE-MIT</w:t>
      </w:r>
      <w:r>
        <w:rPr/>
        <w:t xml:space="preserve"> with a short </w:t>
      </w:r>
      <w:r>
        <w:rPr>
          <w:rFonts w:ascii="Roboto Mono" w:hAnsi="Roboto Mono"/>
          <w:color w:val="188038"/>
        </w:rPr>
        <w:t>LICENSE</w:t>
      </w:r>
      <w:r>
        <w:rPr/>
        <w:t xml:space="preserve"> pointer.</w:t>
        <w:br/>
      </w:r>
    </w:p>
    <w:p>
      <w:pPr/>
      <w:r>
        <w:rPr>
          <w:b/>
        </w:rPr>
        <w:t>Docs/specs</w:t>
      </w:r>
      <w:r>
        <w:rPr/>
        <w:t xml:space="preserve">: Add </w:t>
      </w:r>
      <w:r>
        <w:rPr>
          <w:rFonts w:ascii="Roboto Mono" w:hAnsi="Roboto Mono"/>
          <w:color w:val="188038"/>
        </w:rPr>
        <w:t>docs/LICENSE</w:t>
      </w:r>
      <w:r>
        <w:rPr/>
        <w:t xml:space="preserve"> with </w:t>
      </w:r>
      <w:r>
        <w:rPr>
          <w:b/>
        </w:rPr>
        <w:t>CC BY 4.0</w:t>
      </w:r>
      <w:r>
        <w:rPr/>
        <w:t xml:space="preserve"> text; add header note to each Doc 1–7 / Annex A/B.</w:t>
        <w:br/>
      </w:r>
    </w:p>
    <w:p>
      <w:pPr/>
      <w:r>
        <w:rPr>
          <w:b/>
        </w:rPr>
        <w:t>Schemas</w:t>
      </w:r>
      <w:r>
        <w:rPr/>
        <w:t xml:space="preserve">: Add </w:t>
      </w:r>
      <w:r>
        <w:rPr>
          <w:rFonts w:ascii="Roboto Mono" w:hAnsi="Roboto Mono"/>
          <w:color w:val="188038"/>
        </w:rPr>
        <w:t>schemas/LICENSE</w:t>
      </w:r>
      <w:r>
        <w:rPr/>
        <w:t xml:space="preserve"> (prefer </w:t>
      </w:r>
      <w:r>
        <w:rPr>
          <w:b/>
        </w:rPr>
        <w:t>CC0-1.0</w:t>
      </w:r>
      <w:r>
        <w:rPr/>
        <w:t xml:space="preserve"> for maximal reuse). Include SPDX headers in schema files via comment fields (if allowed) or README note.</w:t>
        <w:br/>
      </w:r>
    </w:p>
    <w:p>
      <w:pPr/>
      <w:r>
        <w:rPr>
          <w:b/>
        </w:rPr>
        <w:t>Fixtures</w:t>
      </w:r>
      <w:r>
        <w:rPr/>
        <w:t xml:space="preserve">: Add </w:t>
      </w:r>
      <w:r>
        <w:rPr>
          <w:rFonts w:ascii="Roboto Mono" w:hAnsi="Roboto Mono"/>
          <w:color w:val="188038"/>
        </w:rPr>
        <w:t>fixtures/LICENSE</w:t>
      </w:r>
      <w:r>
        <w:rPr/>
        <w:t xml:space="preserve"> (</w:t>
      </w:r>
      <w:r>
        <w:rPr>
          <w:b/>
        </w:rPr>
        <w:t>CC0-1.0</w:t>
      </w:r>
      <w:r>
        <w:rPr/>
        <w:t>). Mention that hashes/expected results are non-copyrightable facts.</w:t>
        <w:br/>
      </w:r>
    </w:p>
    <w:p>
      <w:pPr/>
      <w:r>
        <w:rPr>
          <w:b/>
        </w:rPr>
        <w:t>Assets</w:t>
      </w:r>
      <w:r>
        <w:rPr/>
        <w:t xml:space="preserve">: Add </w:t>
      </w:r>
      <w:r>
        <w:rPr>
          <w:rFonts w:ascii="Roboto Mono" w:hAnsi="Roboto Mono"/>
          <w:color w:val="188038"/>
        </w:rPr>
        <w:t>crates/vm_app/ui/public/LICENSES.md</w:t>
      </w:r>
      <w:r>
        <w:rPr/>
        <w:t xml:space="preserve"> listing each third-party style/font/icon with required attribution and URLs; include any provider NOTICE (e.g., MapLibre style/tiles).</w:t>
        <w:br/>
      </w:r>
    </w:p>
    <w:p>
      <w:pPr/>
      <w:r>
        <w:rPr>
          <w:b/>
        </w:rPr>
        <w:t>SPDX headers</w:t>
      </w:r>
      <w:r>
        <w:rPr/>
        <w:t xml:space="preserve">: Add </w:t>
      </w:r>
      <w:r>
        <w:rPr>
          <w:rFonts w:ascii="Roboto Mono" w:hAnsi="Roboto Mono"/>
          <w:color w:val="188038"/>
        </w:rPr>
        <w:t>SPDX-License-Identifier</w:t>
      </w:r>
      <w:r>
        <w:rPr/>
        <w:t xml:space="preserve"> to all source files (</w:t>
      </w:r>
      <w:r>
        <w:rPr>
          <w:rFonts w:ascii="Roboto Mono" w:hAnsi="Roboto Mono"/>
          <w:color w:val="188038"/>
        </w:rPr>
        <w:t>.rs</w:t>
      </w:r>
      <w:r>
        <w:rPr/>
        <w:t xml:space="preserve">, </w:t>
      </w:r>
      <w:r>
        <w:rPr>
          <w:rFonts w:ascii="Roboto Mono" w:hAnsi="Roboto Mono"/>
          <w:color w:val="188038"/>
        </w:rPr>
        <w:t>.toml</w:t>
      </w:r>
      <w:r>
        <w:rPr/>
        <w:t xml:space="preserve">, </w:t>
      </w:r>
      <w:r>
        <w:rPr>
          <w:rFonts w:ascii="Roboto Mono" w:hAnsi="Roboto Mono"/>
          <w:color w:val="188038"/>
        </w:rPr>
        <w:t>.ts</w:t>
      </w:r>
      <w:r>
        <w:rPr/>
        <w:t>, etc.).</w:t>
        <w:br/>
      </w:r>
    </w:p>
    <w:p>
      <w:pPr/>
      <w:r>
        <w:rPr>
          <w:b/>
        </w:rPr>
        <w:t>NOTICE</w:t>
      </w:r>
      <w:r>
        <w:rPr/>
        <w:t xml:space="preserve"> (optional): If Apache-2.0 used, create </w:t>
      </w:r>
      <w:r>
        <w:rPr>
          <w:rFonts w:ascii="Roboto Mono" w:hAnsi="Roboto Mono"/>
          <w:color w:val="188038"/>
        </w:rPr>
        <w:t>NOTICE</w:t>
      </w:r>
      <w:r>
        <w:rPr/>
        <w:t xml:space="preserve"> summarizing copyrights/trademarks.</w:t>
        <w:br/>
      </w:r>
    </w:p>
    <w:p>
      <w:pPr/>
      <w:r>
        <w:rPr>
          <w:b/>
        </w:rPr>
        <w:t>CI/license check</w:t>
      </w:r>
      <w:r>
        <w:rPr/>
        <w:t xml:space="preserve">: Configure </w:t>
      </w:r>
      <w:r>
        <w:rPr>
          <w:rFonts w:ascii="Roboto Mono" w:hAnsi="Roboto Mono"/>
          <w:color w:val="188038"/>
        </w:rPr>
        <w:t>cargo-deny</w:t>
      </w:r>
      <w:r>
        <w:rPr/>
        <w:t xml:space="preserve"> (or equivalent) to fail on incompatible deps and verify SPDX headers present.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Reader sees clear top-level license; subfolders with different terms have explicit </w:t>
      </w:r>
      <w:r>
        <w:rPr>
          <w:rFonts w:ascii="Roboto Mono" w:hAnsi="Roboto Mono"/>
          <w:color w:val="188038"/>
        </w:rPr>
        <w:t>LICENSE</w:t>
      </w:r>
      <w:r>
        <w:rPr/>
        <w:t>/</w:t>
      </w:r>
      <w:r>
        <w:rPr>
          <w:rFonts w:ascii="Roboto Mono" w:hAnsi="Roboto Mono"/>
          <w:color w:val="188038"/>
        </w:rPr>
        <w:t>LICENSES.md</w:t>
      </w:r>
      <w:r>
        <w:rPr/>
        <w:t>. Build/test includes a license audit step.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N/A. (This file supports policy, not computation.)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Vendored deps</w:t>
      </w:r>
      <w:r>
        <w:rPr/>
        <w:t xml:space="preserve">: keep upstream LICENSE files in </w:t>
      </w:r>
      <w:r>
        <w:rPr>
          <w:rFonts w:ascii="Roboto Mono" w:hAnsi="Roboto Mono"/>
          <w:color w:val="188038"/>
        </w:rPr>
        <w:t>vendor/</w:t>
      </w:r>
      <w:r>
        <w:rPr/>
        <w:t>.</w:t>
        <w:br/>
      </w:r>
    </w:p>
    <w:p>
      <w:pPr/>
      <w:r>
        <w:rPr>
          <w:b/>
        </w:rPr>
        <w:t>Map tiles / fonts</w:t>
      </w:r>
      <w:r>
        <w:rPr/>
        <w:t>: ensure redistribution rights; if not redistributable, exclude from repo and document fetch procedure.</w:t>
        <w:br/>
      </w:r>
    </w:p>
    <w:p>
      <w:pPr/>
      <w:r>
        <w:rPr>
          <w:b/>
        </w:rPr>
        <w:t>Generated outputs</w:t>
      </w:r>
      <w:r>
        <w:rPr/>
        <w:t xml:space="preserve">: </w:t>
      </w:r>
      <w:r>
        <w:rPr>
          <w:rFonts w:ascii="Roboto Mono" w:hAnsi="Roboto Mono"/>
          <w:color w:val="188038"/>
        </w:rPr>
        <w:t>artifacts/</w:t>
      </w:r>
      <w:r>
        <w:rPr/>
        <w:t xml:space="preserve"> remain unlicensed build products; not committed.</w:t>
        <w:br/>
      </w:r>
    </w:p>
    <w:p>
      <w:pPr/>
      <w:r>
        <w:rPr>
          <w:b/>
        </w:rPr>
        <w:t>Mixed content</w:t>
      </w:r>
      <w:r>
        <w:rPr/>
        <w:t>: if any doc embeds code, clarify that code snippets are Apache-2.0/MIT while prose is CC BY 4.0.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grep</w:t>
      </w:r>
      <w:r>
        <w:rPr/>
        <w:t xml:space="preserve"> finds SPDX headers in all source files.</w:t>
        <w:br/>
      </w:r>
    </w:p>
    <w:p>
      <w:pPr/>
      <w:r>
        <w:rPr/>
        <w:t>License audit passes (no copyleft-incompatible crates unless intentionally allowed).</w:t>
        <w:br/>
      </w:r>
    </w:p>
    <w:p>
      <w:pPr/>
      <w:r>
        <w:rPr/>
        <w:t xml:space="preserve">Docs/schemas/fixtures folders contain their </w:t>
      </w:r>
      <w:r>
        <w:rPr>
          <w:rFonts w:ascii="Roboto Mono" w:hAnsi="Roboto Mono"/>
          <w:color w:val="188038"/>
        </w:rPr>
        <w:t>LICENSE</w:t>
      </w:r>
      <w:r>
        <w:rPr/>
        <w:t xml:space="preserve"> files.</w:t>
        <w:br/>
      </w:r>
    </w:p>
    <w:p>
      <w:pPr/>
      <w:r>
        <w:rPr/>
        <w:t xml:space="preserve">UI assets have </w:t>
      </w:r>
      <w:r>
        <w:rPr>
          <w:rFonts w:ascii="Roboto Mono" w:hAnsi="Roboto Mono"/>
          <w:color w:val="188038"/>
        </w:rPr>
        <w:t>LICENSES.md</w:t>
      </w:r>
      <w:r>
        <w:rPr/>
        <w:t xml:space="preserve"> with attributions; app “About” screen shows required credits.</w:t>
        <w:br/>
      </w:r>
    </w:p>
    <w:p>
      <w:pPr/>
      <w:r>
        <w:rPr/>
        <w:t>Packaging (</w:t>
      </w:r>
      <w:r>
        <w:rPr>
          <w:rFonts w:ascii="Roboto Mono" w:hAnsi="Roboto Mono"/>
          <w:color w:val="188038"/>
        </w:rPr>
        <w:t>dist/</w:t>
      </w:r>
      <w:r>
        <w:rPr/>
        <w:t>) includes relevant LICENSE/NOTICE files.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