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crates/vm_report/Cargo.toml</w:t>
      </w:r>
      <w:r>
        <w:rPr>
          <w:b/>
          <w:sz w:val="46"/>
        </w:rPr>
        <w:t>, Version/FormulaID: VM-ENGINE v0) — 61/89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Declare a </w:t>
      </w:r>
      <w:r>
        <w:rPr>
          <w:b/>
        </w:rPr>
        <w:t>reporting crate</w:t>
      </w:r>
      <w:r>
        <w:rPr/>
        <w:t xml:space="preserve"> that renders reports </w:t>
      </w:r>
      <w:r>
        <w:rPr>
          <w:b/>
        </w:rPr>
        <w:t>offline</w:t>
      </w:r>
      <w:r>
        <w:rPr/>
        <w:t>, with deterministic builds, and outputs matching Doc 7 specs (one-decimal %; structure fixed).</w:t>
        <w:br/>
      </w:r>
    </w:p>
    <w:p>
      <w:pPr/>
      <w:r>
        <w:rPr/>
        <w:t xml:space="preserve">Success: Builds with workspace lock; no network/runtime assets; provides opt-in features for </w:t>
      </w:r>
      <w:r>
        <w:rPr>
          <w:b/>
        </w:rPr>
        <w:t>JSON</w:t>
      </w:r>
      <w:r>
        <w:rPr/>
        <w:t xml:space="preserve"> and </w:t>
      </w:r>
      <w:r>
        <w:rPr>
          <w:b/>
        </w:rPr>
        <w:t>HTML/PDF</w:t>
      </w:r>
      <w:r>
        <w:rPr/>
        <w:t xml:space="preserve"> render paths required by Doc 7.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Crate metadata; feature flags (e.g., </w:t>
      </w:r>
      <w:r>
        <w:rPr>
          <w:rFonts w:ascii="Roboto Mono" w:hAnsi="Roboto Mono"/>
          <w:color w:val="188038"/>
        </w:rPr>
        <w:t>render_json</w:t>
      </w:r>
      <w:r>
        <w:rPr/>
        <w:t xml:space="preserve">, </w:t>
      </w:r>
      <w:r>
        <w:rPr>
          <w:rFonts w:ascii="Roboto Mono" w:hAnsi="Roboto Mono"/>
          <w:color w:val="188038"/>
        </w:rPr>
        <w:t>render_html</w:t>
      </w:r>
      <w:r>
        <w:rPr/>
        <w:t>); dependencies only for deterministic, offline rendering; test profile hooks.</w:t>
        <w:br/>
      </w:r>
    </w:p>
    <w:p>
      <w:pPr/>
      <w:r>
        <w:rPr/>
        <w:t>Out of scope: Report structure/content (lives in code &amp; templates per Doc 7), pipeline objects.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 xml:space="preserve">Inputs: Workspace toolchain &amp; lock; </w:t>
      </w:r>
      <w:r>
        <w:rPr>
          <w:rFonts w:ascii="Roboto Mono" w:hAnsi="Roboto Mono"/>
          <w:color w:val="188038"/>
        </w:rPr>
        <w:t>vm_report::structure</w:t>
      </w:r>
      <w:r>
        <w:rPr/>
        <w:t xml:space="preserve"> and render modules consume </w:t>
      </w:r>
      <w:r>
        <w:rPr>
          <w:b/>
        </w:rPr>
        <w:t>Result</w:t>
      </w:r>
      <w:r>
        <w:rPr/>
        <w:t xml:space="preserve">, </w:t>
      </w:r>
      <w:r>
        <w:rPr>
          <w:b/>
        </w:rPr>
        <w:t>RunRecord</w:t>
      </w:r>
      <w:r>
        <w:rPr/>
        <w:t xml:space="preserve">, optional </w:t>
      </w:r>
      <w:r>
        <w:rPr>
          <w:b/>
        </w:rPr>
        <w:t>FrontierMap</w:t>
      </w:r>
      <w:r>
        <w:rPr/>
        <w:t>.</w:t>
        <w:br/>
      </w:r>
    </w:p>
    <w:p>
      <w:pPr/>
      <w:r>
        <w:rPr/>
        <w:t xml:space="preserve">Outputs: Build artifacts for report renderers (JSON/HTML), which must show </w:t>
      </w:r>
      <w:r>
        <w:rPr>
          <w:b/>
        </w:rPr>
        <w:t>one-decimal</w:t>
      </w:r>
      <w:r>
        <w:rPr/>
        <w:t xml:space="preserve"> percentages and include mandated sections/footers.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(manifest has no functions)</w:t>
        <w:br/>
      </w:r>
    </w:p>
    <w:p>
      <w:pPr>
        <w:pStyle w:val="Heading2"/>
      </w:pPr>
      <w:r>
        <w:rPr>
          <w:b/>
          <w:sz w:val="34"/>
        </w:rPr>
        <w:t>7) Algorithm Outline (build configuration)</w:t>
      </w:r>
    </w:p>
    <w:p>
      <w:pPr/>
      <w:r>
        <w:rPr/>
        <w:t>Define crate with edition + resolver v2 (inherits workspace).</w:t>
        <w:br/>
      </w:r>
    </w:p>
    <w:p>
      <w:pPr/>
      <w:r>
        <w:rPr/>
        <w:t xml:space="preserve">Add </w:t>
      </w:r>
      <w:r>
        <w:rPr>
          <w:rFonts w:ascii="Roboto Mono" w:hAnsi="Roboto Mono"/>
          <w:b/>
          <w:color w:val="188038"/>
        </w:rPr>
        <w:t>render_json</w:t>
      </w:r>
      <w:r>
        <w:rPr/>
        <w:t xml:space="preserve"> feature: depends on serialization stack only (no net). Output must bind to </w:t>
      </w:r>
      <w:r>
        <w:rPr>
          <w:rFonts w:ascii="Roboto Mono" w:hAnsi="Roboto Mono"/>
          <w:color w:val="188038"/>
        </w:rPr>
        <w:t>Result/RunRecord/FrontierMap</w:t>
      </w:r>
      <w:r>
        <w:rPr/>
        <w:t xml:space="preserve"> fields.</w:t>
        <w:br/>
      </w:r>
    </w:p>
    <w:p>
      <w:pPr/>
      <w:r>
        <w:rPr/>
        <w:t xml:space="preserve">Add </w:t>
      </w:r>
      <w:r>
        <w:rPr>
          <w:rFonts w:ascii="Roboto Mono" w:hAnsi="Roboto Mono"/>
          <w:b/>
          <w:color w:val="188038"/>
        </w:rPr>
        <w:t>render_html</w:t>
      </w:r>
      <w:r>
        <w:rPr/>
        <w:t xml:space="preserve"> feature: includes template engine/assets </w:t>
      </w:r>
      <w:r>
        <w:rPr>
          <w:b/>
        </w:rPr>
        <w:t>bundled locally</w:t>
      </w:r>
      <w:r>
        <w:rPr/>
        <w:t>; forbid remote fonts/tiles/scripts.</w:t>
        <w:br/>
      </w:r>
    </w:p>
    <w:p>
      <w:pPr/>
      <w:r>
        <w:rPr/>
        <w:t xml:space="preserve">Ensure </w:t>
      </w:r>
      <w:r>
        <w:rPr>
          <w:b/>
        </w:rPr>
        <w:t>one-decimal</w:t>
      </w:r>
      <w:r>
        <w:rPr/>
        <w:t xml:space="preserve"> formatting helpers are part of the crate (exposed for both renderers).</w:t>
        <w:br/>
      </w:r>
    </w:p>
    <w:p>
      <w:pPr/>
      <w:r>
        <w:rPr/>
        <w:t>Profiles: deterministic release (inherits workspace settings).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Used by </w:t>
      </w:r>
      <w:r>
        <w:rPr>
          <w:b/>
        </w:rPr>
        <w:t>vm_report</w:t>
      </w:r>
      <w:r>
        <w:rPr/>
        <w:t xml:space="preserve"> library to render §1–§10 sections fixed by Doc 7; consumes </w:t>
      </w:r>
      <w:r>
        <w:rPr>
          <w:b/>
        </w:rPr>
        <w:t>Result/RunRecord/FrontierMap</w:t>
      </w:r>
      <w:r>
        <w:rPr/>
        <w:t xml:space="preserve"> only.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Offline only; no external assets; percent formatting at </w:t>
      </w:r>
      <w:r>
        <w:rPr>
          <w:b/>
        </w:rPr>
        <w:t>one decimal</w:t>
      </w:r>
      <w:r>
        <w:rPr/>
        <w:t>; integers for seats.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render_html</w:t>
      </w:r>
      <w:r>
        <w:rPr/>
        <w:t xml:space="preserve"> templates missing external assets, </w:t>
      </w:r>
      <w:r>
        <w:rPr>
          <w:b/>
        </w:rPr>
        <w:t>do not fetch</w:t>
      </w:r>
      <w:r>
        <w:rPr/>
        <w:t>—fail build; templates must be bundled.</w:t>
        <w:br/>
      </w:r>
    </w:p>
    <w:p>
      <w:pPr/>
      <w:r>
        <w:rPr/>
        <w:t xml:space="preserve">Internationalization: if bilingual is enabled in code, crate must ship mirrored templates; </w:t>
      </w:r>
      <w:r>
        <w:rPr>
          <w:b/>
        </w:rPr>
        <w:t>never mix languages in paragraphs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JSON/HTML feature builds succeed under </w:t>
      </w:r>
      <w:r>
        <w:rPr>
          <w:rFonts w:ascii="Roboto Mono" w:hAnsi="Roboto Mono"/>
          <w:color w:val="188038"/>
        </w:rPr>
        <w:t>--locked</w:t>
      </w:r>
      <w:r>
        <w:rPr/>
        <w:t xml:space="preserve">; </w:t>
      </w:r>
      <w:r>
        <w:rPr>
          <w:b/>
        </w:rPr>
        <w:t>no network</w:t>
      </w:r>
      <w:r>
        <w:rPr/>
        <w:t xml:space="preserve"> during render.</w:t>
        <w:br/>
      </w:r>
    </w:p>
    <w:p>
      <w:pPr/>
      <w:r>
        <w:rPr/>
        <w:t xml:space="preserve">Renderers show </w:t>
      </w:r>
      <w:r>
        <w:rPr>
          <w:b/>
        </w:rPr>
        <w:t>one-decimal</w:t>
      </w:r>
      <w:r>
        <w:rPr/>
        <w:t xml:space="preserve"> percentages; footer IDs sourced from </w:t>
      </w:r>
      <w:r>
        <w:rPr>
          <w:b/>
        </w:rPr>
        <w:t>RunRecord/Result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