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crates/vm_report/src/render_html.rs</w:t>
      </w:r>
      <w:r>
        <w:rPr>
          <w:b/>
          <w:sz w:val="46"/>
        </w:rPr>
        <w:t>, Version/FormulaID: VM-ENGINE v0) — 65/89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Render the </w:t>
      </w:r>
      <w:r>
        <w:rPr>
          <w:rFonts w:ascii="Roboto Mono" w:hAnsi="Roboto Mono"/>
          <w:color w:val="188038"/>
        </w:rPr>
        <w:t>ReportModel</w:t>
      </w:r>
      <w:r>
        <w:rPr/>
        <w:t xml:space="preserve"> to </w:t>
      </w:r>
      <w:r>
        <w:rPr>
          <w:b/>
        </w:rPr>
        <w:t>HTML</w:t>
      </w:r>
      <w:r>
        <w:rPr/>
        <w:t xml:space="preserve"> using fixed templates/wording, exact section order, and </w:t>
      </w:r>
      <w:r>
        <w:rPr>
          <w:b/>
        </w:rPr>
        <w:t>one-decimal</w:t>
      </w:r>
      <w:r>
        <w:rPr/>
        <w:t xml:space="preserve"> presentation; bundle all assets for </w:t>
      </w:r>
      <w:r>
        <w:rPr>
          <w:b/>
        </w:rPr>
        <w:t>offline</w:t>
      </w:r>
      <w:r>
        <w:rPr/>
        <w:t xml:space="preserve"> use.</w:t>
        <w:br/>
      </w:r>
    </w:p>
    <w:p>
      <w:pPr/>
      <w:r>
        <w:rPr>
          <w:b/>
        </w:rPr>
        <w:t>Success:</w:t>
      </w:r>
      <w:r>
        <w:rPr/>
        <w:t xml:space="preserve"> HTML matches Doc 7 wording/sections; includes the mandatory </w:t>
      </w:r>
      <w:r>
        <w:rPr>
          <w:b/>
        </w:rPr>
        <w:t>approval-denominator</w:t>
      </w:r>
      <w:r>
        <w:rPr/>
        <w:t xml:space="preserve"> sentence for approval ballots; no external fetches (fonts/styles/tiles).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Template selection, token substitution from </w:t>
      </w:r>
      <w:r>
        <w:rPr>
          <w:rFonts w:ascii="Roboto Mono" w:hAnsi="Roboto Mono"/>
          <w:color w:val="188038"/>
        </w:rPr>
        <w:t>ReportModel</w:t>
      </w:r>
      <w:r>
        <w:rPr/>
        <w:t xml:space="preserve">, section ordering, one-decimal formatting (no re-rounding), </w:t>
      </w:r>
      <w:r>
        <w:rPr>
          <w:b/>
        </w:rPr>
        <w:t>bilingual mirrored</w:t>
      </w:r>
      <w:r>
        <w:rPr/>
        <w:t xml:space="preserve"> output option, and accessibility/keyboard order constraints.</w:t>
        <w:br/>
      </w:r>
    </w:p>
    <w:p>
      <w:pPr/>
      <w:r>
        <w:rPr>
          <w:b/>
        </w:rPr>
        <w:t>Out of scope:</w:t>
      </w:r>
      <w:r>
        <w:rPr/>
        <w:t xml:space="preserve"> Building the model, computing values, or reading artifacts directly (those happen upstream).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Input:</w:t>
      </w:r>
      <w:r>
        <w:rPr/>
        <w:t xml:space="preserve"> </w:t>
      </w:r>
      <w:r>
        <w:rPr>
          <w:rFonts w:ascii="Roboto Mono" w:hAnsi="Roboto Mono"/>
          <w:color w:val="188038"/>
        </w:rPr>
        <w:t>ReportModel</w:t>
      </w:r>
      <w:r>
        <w:rPr/>
        <w:t xml:space="preserve"> (already bound to </w:t>
      </w:r>
      <w:r>
        <w:rPr>
          <w:rFonts w:ascii="Roboto Mono" w:hAnsi="Roboto Mono"/>
          <w:color w:val="188038"/>
        </w:rPr>
        <w:t>Result</w:t>
      </w:r>
      <w:r>
        <w:rPr/>
        <w:t xml:space="preserve">, </w:t>
      </w:r>
      <w:r>
        <w:rPr>
          <w:rFonts w:ascii="Roboto Mono" w:hAnsi="Roboto Mono"/>
          <w:color w:val="188038"/>
        </w:rPr>
        <w:t>RunRecord</w:t>
      </w:r>
      <w:r>
        <w:rPr/>
        <w:t xml:space="preserve">,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), plus a handle to </w:t>
      </w:r>
      <w:r>
        <w:rPr>
          <w:b/>
        </w:rPr>
        <w:t>bundled assets</w:t>
      </w:r>
      <w:r>
        <w:rPr/>
        <w:t xml:space="preserve"> (templates/CSS/inline map styles).</w:t>
        <w:br/>
      </w:r>
    </w:p>
    <w:p>
      <w:pPr/>
      <w:r>
        <w:rPr>
          <w:b/>
        </w:rPr>
        <w:t>Output:</w:t>
      </w:r>
      <w:r>
        <w:rPr/>
        <w:t xml:space="preserve"> Deterministic </w:t>
      </w:r>
      <w:r>
        <w:rPr>
          <w:b/>
        </w:rPr>
        <w:t>HTML</w:t>
      </w:r>
      <w:r>
        <w:rPr/>
        <w:t xml:space="preserve"> string/document following Doc 7 </w:t>
      </w:r>
      <w:r>
        <w:rPr>
          <w:b/>
        </w:rPr>
        <w:t>section order</w:t>
      </w:r>
      <w:r>
        <w:rPr/>
        <w:t xml:space="preserve"> and fixed wording blocks &amp; footers.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>
          <w:b/>
        </w:rPr>
        <w:t>Display-only</w:t>
      </w:r>
      <w:r>
        <w:rPr/>
        <w:t xml:space="preserve">; no VM-VAR computation here. Ensure </w:t>
      </w:r>
      <w:r>
        <w:rPr>
          <w:b/>
        </w:rPr>
        <w:t>approval-denominator sentence</w:t>
      </w:r>
      <w:r>
        <w:rPr/>
        <w:t xml:space="preserve"> appears in §3 for approval ballots.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fn render_html(model: &amp;ReportModel, opts: HtmlRenderOpts) -&gt; String;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HtmlRenderOpts {</w:t>
      </w:r>
    </w:p>
    <w:p>
      <w:pPr/>
      <w:r>
        <w:rPr>
          <w:rFonts w:ascii="Roboto Mono" w:hAnsi="Roboto Mono"/>
          <w:color w:val="188038"/>
        </w:rPr>
        <w:t xml:space="preserve">  pub bilingual: Option&lt;BilingualPair&gt;, // if Some, produce mirrored full docs</w:t>
      </w:r>
    </w:p>
    <w:p>
      <w:pPr/>
      <w:r>
        <w:rPr>
          <w:rFonts w:ascii="Roboto Mono" w:hAnsi="Roboto Mono"/>
          <w:color w:val="188038"/>
        </w:rPr>
        <w:t xml:space="preserve">  pub embed_assets: bool,               // inline &lt;style&gt;/&lt;script&gt; from bundle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write_section_cover_snapshot(w: &amp;mut Html, m: &amp;ReportModel);</w:t>
      </w:r>
    </w:p>
    <w:p>
      <w:pPr/>
      <w:r>
        <w:rPr>
          <w:rFonts w:ascii="Roboto Mono" w:hAnsi="Roboto Mono"/>
          <w:color w:val="188038"/>
        </w:rPr>
        <w:t>fn write_section_eligibility(w: &amp;mut Html, m: &amp;ReportModel);</w:t>
      </w:r>
    </w:p>
    <w:p>
      <w:pPr/>
      <w:r>
        <w:rPr>
          <w:rFonts w:ascii="Roboto Mono" w:hAnsi="Roboto Mono"/>
          <w:color w:val="188038"/>
        </w:rPr>
        <w:t>fn write_section_ballot(w: &amp;mut Html, m: &amp;ReportModel); // adds approval sentence if needed</w:t>
      </w:r>
    </w:p>
    <w:p>
      <w:pPr/>
      <w:r>
        <w:rPr>
          <w:rFonts w:ascii="Roboto Mono" w:hAnsi="Roboto Mono"/>
          <w:color w:val="188038"/>
        </w:rPr>
        <w:t>fn write_section_panel(w: &amp;mut Html, m: &amp;ReportModel);</w:t>
      </w:r>
    </w:p>
    <w:p>
      <w:pPr/>
      <w:r>
        <w:rPr>
          <w:rFonts w:ascii="Roboto Mono" w:hAnsi="Roboto Mono"/>
          <w:color w:val="188038"/>
        </w:rPr>
        <w:t>fn write_section_outcome(w: &amp;mut Html, m: &amp;ReportModel);</w:t>
      </w:r>
    </w:p>
    <w:p>
      <w:pPr/>
      <w:r>
        <w:rPr>
          <w:rFonts w:ascii="Roboto Mono" w:hAnsi="Roboto Mono"/>
          <w:color w:val="188038"/>
        </w:rPr>
        <w:t>fn write_section_frontier(w: &amp;mut Html, m: &amp;ReportModel); // only if FrontierMap exists</w:t>
      </w:r>
    </w:p>
    <w:p>
      <w:pPr/>
      <w:r>
        <w:rPr>
          <w:rFonts w:ascii="Roboto Mono" w:hAnsi="Roboto Mono"/>
          <w:color w:val="188038"/>
        </w:rPr>
        <w:t>fn write_section_sensitivity(w: &amp;mut Html, m: &amp;ReportModel);</w:t>
      </w:r>
    </w:p>
    <w:p>
      <w:pPr/>
      <w:r>
        <w:rPr>
          <w:rFonts w:ascii="Roboto Mono" w:hAnsi="Roboto Mono"/>
          <w:color w:val="188038"/>
        </w:rPr>
        <w:t>fn write_section_integrity_footer(w: &amp;mut Html, m: &amp;ReportModel);</w:t>
      </w:r>
    </w:p>
    <w:p>
      <w:pPr/>
      <w:r>
        <w:rPr/>
      </w:r>
    </w:p>
    <w:p>
      <w:pPr/>
      <w:r>
        <w:rPr>
          <w:rFonts w:ascii="Nova Mono" w:hAnsi="Nova Mono"/>
          <w:color w:val="188038"/>
        </w:rPr>
        <w:t>fn ensure_keyboard_order(doc: &amp;mut Html); // title → snapshot → sections</w:t>
      </w:r>
    </w:p>
    <w:p>
      <w:pPr/>
      <w:r>
        <w:rPr/>
      </w:r>
    </w:p>
    <w:p>
      <w:pPr/>
      <w:r>
        <w:rPr/>
        <w:t xml:space="preserve">(Section writers insert </w:t>
      </w:r>
      <w:r>
        <w:rPr>
          <w:b/>
        </w:rPr>
        <w:t>verbatim blocks</w:t>
      </w:r>
      <w:r>
        <w:rPr/>
        <w:t xml:space="preserve"> per Doc 7B.)</w:t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>
          <w:b/>
        </w:rPr>
        <w:t>Initialize</w:t>
      </w:r>
      <w:r>
        <w:rPr/>
        <w:t xml:space="preserve"> HTML doc, set language/meta; if </w:t>
      </w:r>
      <w:r>
        <w:rPr>
          <w:rFonts w:ascii="Roboto Mono" w:hAnsi="Roboto Mono"/>
          <w:color w:val="188038"/>
        </w:rPr>
        <w:t>bilingual</w:t>
      </w:r>
      <w:r>
        <w:rPr/>
        <w:t xml:space="preserve">, render </w:t>
      </w:r>
      <w:r>
        <w:rPr>
          <w:b/>
        </w:rPr>
        <w:t>mirrored full documents</w:t>
      </w:r>
      <w:r>
        <w:rPr/>
        <w:t xml:space="preserve"> (not mixed paragraphs).</w:t>
        <w:br/>
      </w:r>
    </w:p>
    <w:p>
      <w:pPr/>
      <w:r>
        <w:rPr>
          <w:b/>
        </w:rPr>
        <w:t>Emit sections in order</w:t>
      </w:r>
      <w:r>
        <w:rPr>
          <w:rFonts w:ascii="Arial Unicode MS" w:hAnsi="Arial Unicode MS"/>
        </w:rPr>
        <w:t xml:space="preserve"> §1→§10 exactly.</w:t>
        <w:br/>
      </w:r>
    </w:p>
    <w:p>
      <w:pPr/>
      <w:r>
        <w:rPr>
          <w:b/>
        </w:rPr>
        <w:t>Ballot (§3):</w:t>
      </w:r>
      <w:r>
        <w:rPr/>
        <w:t xml:space="preserve"> include the required </w:t>
      </w:r>
      <w:r>
        <w:rPr>
          <w:b/>
        </w:rPr>
        <w:t>approval-rate denominator</w:t>
      </w:r>
      <w:r>
        <w:rPr/>
        <w:t xml:space="preserve"> sentence for approval ballots.</w:t>
        <w:br/>
      </w:r>
    </w:p>
    <w:p>
      <w:pPr/>
      <w:r>
        <w:rPr>
          <w:b/>
        </w:rPr>
        <w:t>Panel (§…):</w:t>
      </w:r>
      <w:r>
        <w:rPr/>
        <w:t xml:space="preserve"> use Doc 7B </w:t>
      </w:r>
      <w:r>
        <w:rPr>
          <w:b/>
        </w:rPr>
        <w:t>verbatim wording</w:t>
      </w:r>
      <w:r>
        <w:rPr/>
        <w:t xml:space="preserve"> for quorum/majority/double-majority/symmetry (fill brackets).</w:t>
        <w:br/>
      </w:r>
    </w:p>
    <w:p>
      <w:pPr/>
      <w:r>
        <w:rPr>
          <w:b/>
        </w:rPr>
        <w:t>Frontier (§8):</w:t>
      </w:r>
      <w:r>
        <w:rPr/>
        <w:t xml:space="preserve"> only if FrontierMap exists; show status + diagnostics (mediation/enclave/protected counts; contiguity basis/island rule).</w:t>
        <w:br/>
      </w:r>
    </w:p>
    <w:p>
      <w:pPr/>
      <w:r>
        <w:rPr>
          <w:b/>
        </w:rPr>
        <w:t>Sensitivity (§9):</w:t>
      </w:r>
      <w:r>
        <w:rPr/>
        <w:t xml:space="preserve"> render 2×3 </w:t>
      </w:r>
      <w:r>
        <w:rPr>
          <w:b/>
        </w:rPr>
        <w:t>±1pp/±5pp</w:t>
      </w:r>
      <w:r>
        <w:rPr/>
        <w:t xml:space="preserve"> table if scenarios exist, else “N/A (not executed)”.</w:t>
        <w:br/>
      </w:r>
    </w:p>
    <w:p>
      <w:pPr/>
      <w:r>
        <w:rPr>
          <w:b/>
        </w:rPr>
        <w:t>Integrity &amp; footer (§10 + fixed footer):</w:t>
      </w:r>
      <w:r>
        <w:rPr/>
        <w:t xml:space="preserve"> identifiers from RunRecord/Result; duplicate fixed footer line.</w:t>
        <w:br/>
      </w:r>
    </w:p>
    <w:p>
      <w:pPr/>
      <w:r>
        <w:rPr>
          <w:b/>
        </w:rPr>
        <w:t>Precision:</w:t>
      </w:r>
      <w:r>
        <w:rPr/>
        <w:t xml:space="preserve"> present </w:t>
      </w:r>
      <w:r>
        <w:rPr>
          <w:b/>
        </w:rPr>
        <w:t>one-decimal</w:t>
      </w:r>
      <w:r>
        <w:rPr/>
        <w:t xml:space="preserve"> percentages &amp; pp; seats integers; </w:t>
      </w:r>
      <w:r>
        <w:rPr>
          <w:b/>
        </w:rPr>
        <w:t>no double rounding</w:t>
      </w:r>
      <w:r>
        <w:rPr/>
        <w:t>.</w:t>
        <w:br/>
      </w:r>
    </w:p>
    <w:p>
      <w:pPr/>
      <w:r>
        <w:rPr>
          <w:b/>
        </w:rPr>
        <w:t>Offline assets:</w:t>
      </w:r>
      <w:r>
        <w:rPr/>
        <w:t xml:space="preserve"> inline/bundle all CSS/fonts and any map styles; </w:t>
      </w:r>
      <w:r>
        <w:rPr>
          <w:b/>
        </w:rPr>
        <w:t>no external fetch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Called by </w:t>
      </w:r>
      <w:r>
        <w:rPr>
          <w:rFonts w:ascii="Roboto Mono" w:hAnsi="Roboto Mono"/>
          <w:color w:val="188038"/>
        </w:rPr>
        <w:t>vm_report::lib</w:t>
      </w:r>
      <w:r>
        <w:rPr/>
        <w:t xml:space="preserve"> after model build; </w:t>
      </w:r>
      <w:r>
        <w:rPr>
          <w:b/>
        </w:rPr>
        <w:t>reads model only</w:t>
      </w:r>
      <w:r>
        <w:rPr/>
        <w:t>; emits HTML; assets are local/bundled.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Keyboard order fixed; deterministic template paths; no network; numbers appear as strings with one decimal (already formatted in model).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Validation failed:</w:t>
      </w:r>
      <w:r>
        <w:rPr/>
        <w:t xml:space="preserve"> render Cover/Eligibility/Ballot + “Why this run is invalid…”, mark Outcome </w:t>
      </w:r>
      <w:r>
        <w:rPr>
          <w:b/>
        </w:rPr>
        <w:t>Invalid</w:t>
      </w:r>
      <w:r>
        <w:rPr/>
        <w:t xml:space="preserve">, </w:t>
      </w:r>
      <w:r>
        <w:rPr>
          <w:b/>
        </w:rPr>
        <w:t>omit Frontier</w:t>
      </w:r>
      <w:r>
        <w:rPr/>
        <w:t>.</w:t>
        <w:br/>
      </w:r>
    </w:p>
    <w:p>
      <w:pPr/>
      <w:r>
        <w:rPr>
          <w:b/>
        </w:rPr>
        <w:t>Gates failed:</w:t>
      </w:r>
      <w:r>
        <w:rPr>
          <w:rFonts w:ascii="Arial Unicode MS" w:hAnsi="Arial Unicode MS"/>
        </w:rPr>
        <w:t xml:space="preserve"> render panel with ❌, Outcome “Invalid (gate failed: …)”, </w:t>
      </w:r>
      <w:r>
        <w:rPr>
          <w:b/>
        </w:rPr>
        <w:t>omit Frontier</w:t>
      </w:r>
      <w:r>
        <w:rPr/>
        <w:t>.</w:t>
        <w:br/>
      </w:r>
    </w:p>
    <w:p>
      <w:pPr/>
      <w:r>
        <w:rPr>
          <w:b/>
        </w:rPr>
        <w:t>Frontier mediation/protected impacts:</w:t>
      </w:r>
      <w:r>
        <w:rPr/>
        <w:t xml:space="preserve"> add ⚠ callout under Outcome; label becomes </w:t>
      </w:r>
      <w:r>
        <w:rPr>
          <w:b/>
        </w:rPr>
        <w:t>Marginal</w:t>
      </w:r>
      <w:r>
        <w:rPr/>
        <w:t xml:space="preserve"> (already set upstream).</w:t>
        <w:br/>
      </w:r>
    </w:p>
    <w:p>
      <w:pPr/>
      <w:r>
        <w:rPr>
          <w:b/>
        </w:rPr>
        <w:t>Bilingual:</w:t>
      </w:r>
      <w:r>
        <w:rPr/>
        <w:t xml:space="preserve"> two full mirrored docs; </w:t>
      </w:r>
      <w:r>
        <w:rPr>
          <w:b/>
        </w:rPr>
        <w:t>do not mix languages</w:t>
      </w:r>
      <w:r>
        <w:rPr/>
        <w:t xml:space="preserve"> within paragraphs.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Section order and wording blocks match Doc 7; </w:t>
      </w:r>
      <w:r>
        <w:rPr>
          <w:b/>
        </w:rPr>
        <w:t>approval sentence</w:t>
      </w:r>
      <w:r>
        <w:rPr/>
        <w:t xml:space="preserve"> present for approval ballots.</w:t>
        <w:br/>
      </w:r>
    </w:p>
    <w:p>
      <w:pPr/>
      <w:r>
        <w:rPr>
          <w:b/>
        </w:rPr>
        <w:t>One-decimal</w:t>
      </w:r>
      <w:r>
        <w:rPr/>
        <w:t xml:space="preserve"> everywhere; seats integers; no double rounding.</w:t>
        <w:br/>
      </w:r>
    </w:p>
    <w:p>
      <w:pPr/>
      <w:r>
        <w:rPr>
          <w:b/>
        </w:rPr>
        <w:t>Frontier</w:t>
      </w:r>
      <w:r>
        <w:rPr/>
        <w:t xml:space="preserve"> only when FR exists; diagnostics &amp; counts mirror artifacts.</w:t>
        <w:br/>
      </w:r>
    </w:p>
    <w:p>
      <w:pPr/>
      <w:r>
        <w:rPr>
          <w:b/>
        </w:rPr>
        <w:t>Offline</w:t>
      </w:r>
      <w:r>
        <w:rPr/>
        <w:t>: no external asset requests; HTML renders with bundled fonts/styles.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