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4E02" w:rsidRPr="00714E02" w:rsidRDefault="00714E02" w:rsidP="00714E02">
      <w:pPr>
        <w:rPr>
          <w:b/>
          <w:bCs/>
        </w:rPr>
      </w:pPr>
      <w:r w:rsidRPr="00714E02">
        <w:rPr>
          <w:b/>
          <w:bCs/>
        </w:rPr>
        <w:t>Actionable Insights &amp; Recommendations</w:t>
      </w:r>
    </w:p>
    <w:p w:rsidR="00714E02" w:rsidRDefault="00714E02" w:rsidP="00714E02"/>
    <w:p w:rsidR="00714E02" w:rsidRDefault="00714E02" w:rsidP="00714E02">
      <w:pPr>
        <w:pStyle w:val="ListParagraph"/>
        <w:numPr>
          <w:ilvl w:val="0"/>
          <w:numId w:val="4"/>
        </w:numPr>
      </w:pPr>
      <w:r>
        <w:t>Both clustering methods identify a high-credit-limit segment with the highest average credit limit, suggesting a potential high-income or high-spending group. These customers, found in HC segment 1 and KM segment 2, also have the highest total credit cards and significant online visits.</w:t>
      </w:r>
    </w:p>
    <w:p w:rsidR="00714E02" w:rsidRDefault="00714E02" w:rsidP="00714E02"/>
    <w:p w:rsidR="00714E02" w:rsidRDefault="00714E02" w:rsidP="00714E02">
      <w:pPr>
        <w:pStyle w:val="ListParagraph"/>
        <w:numPr>
          <w:ilvl w:val="0"/>
          <w:numId w:val="4"/>
        </w:numPr>
      </w:pPr>
      <w:r>
        <w:t>A lower-credit-limit segment, represented by HC segment 0 and KM segment 1, has fewer credit cards and a moderate number of online visits, indicating possibly moderate-income customers.</w:t>
      </w:r>
    </w:p>
    <w:p w:rsidR="00714E02" w:rsidRDefault="00714E02" w:rsidP="00714E02"/>
    <w:p w:rsidR="00714E02" w:rsidRDefault="00714E02" w:rsidP="00714E02">
      <w:pPr>
        <w:pStyle w:val="ListParagraph"/>
        <w:numPr>
          <w:ilvl w:val="0"/>
          <w:numId w:val="4"/>
        </w:numPr>
      </w:pPr>
      <w:r>
        <w:t>Another group, with a mid-range credit limit (found in HC segment 0 and KM segment 0), has fewer online visits and bank visits, suggesting a different interaction pattern.</w:t>
      </w:r>
    </w:p>
    <w:p w:rsidR="00714E02" w:rsidRDefault="00714E02" w:rsidP="00714E02"/>
    <w:p w:rsidR="00714E02" w:rsidRDefault="00714E02" w:rsidP="00714E02">
      <w:pPr>
        <w:pStyle w:val="ListParagraph"/>
        <w:numPr>
          <w:ilvl w:val="0"/>
          <w:numId w:val="4"/>
        </w:numPr>
      </w:pPr>
      <w:r>
        <w:t>High-credit customers are more active online but make fewer calls and visits to banks. This group prefers digital interactions.</w:t>
      </w:r>
    </w:p>
    <w:p w:rsidR="00714E02" w:rsidRDefault="00714E02" w:rsidP="00714E02"/>
    <w:p w:rsidR="00714E02" w:rsidRDefault="00714E02" w:rsidP="00714E02">
      <w:pPr>
        <w:pStyle w:val="ListParagraph"/>
        <w:numPr>
          <w:ilvl w:val="0"/>
          <w:numId w:val="4"/>
        </w:numPr>
      </w:pPr>
      <w:r>
        <w:t>Moderate-credit customers exhibit a balanced mix of online visits, bank visits, and calls, indicating they may need more in-person assistance.</w:t>
      </w:r>
    </w:p>
    <w:p w:rsidR="00714E02" w:rsidRDefault="00714E02" w:rsidP="00714E02"/>
    <w:p w:rsidR="00714E02" w:rsidRDefault="00714E02" w:rsidP="00714E02">
      <w:pPr>
        <w:pStyle w:val="ListParagraph"/>
        <w:numPr>
          <w:ilvl w:val="0"/>
          <w:numId w:val="4"/>
        </w:numPr>
      </w:pPr>
      <w:r>
        <w:t>Low-credit customers have a lower engagement rate, with fewer online visits but a higher tendency to call, which could indicate a preference for direct support.</w:t>
      </w:r>
    </w:p>
    <w:p w:rsidR="00714E02" w:rsidRDefault="00714E02" w:rsidP="00714E02"/>
    <w:p w:rsidR="00714E02" w:rsidRPr="00714E02" w:rsidRDefault="00714E02" w:rsidP="00714E02">
      <w:pPr>
        <w:rPr>
          <w:b/>
          <w:bCs/>
        </w:rPr>
      </w:pPr>
      <w:r w:rsidRPr="00714E02">
        <w:rPr>
          <w:b/>
          <w:bCs/>
        </w:rPr>
        <w:t>Business Recommendations:</w:t>
      </w:r>
    </w:p>
    <w:p w:rsidR="00714E02" w:rsidRDefault="00714E02" w:rsidP="00714E02">
      <w:pPr>
        <w:pStyle w:val="ListParagraph"/>
        <w:numPr>
          <w:ilvl w:val="0"/>
          <w:numId w:val="7"/>
        </w:numPr>
      </w:pPr>
      <w:r>
        <w:t>For high-credit customers (found in HC segment 1 and KM segment 2), focus on personalized digital marketing, emphasizing premium services, rewards, and exclusive offers that enhance their digital banking experience.</w:t>
      </w:r>
    </w:p>
    <w:p w:rsidR="00714E02" w:rsidRDefault="00714E02" w:rsidP="00714E02"/>
    <w:p w:rsidR="00714E02" w:rsidRDefault="00714E02" w:rsidP="00714E02">
      <w:pPr>
        <w:pStyle w:val="ListParagraph"/>
        <w:numPr>
          <w:ilvl w:val="0"/>
          <w:numId w:val="7"/>
        </w:numPr>
      </w:pPr>
      <w:r>
        <w:t xml:space="preserve">Introduce digital features, like virtual advisors or premium customer service, to cater to their online </w:t>
      </w:r>
      <w:proofErr w:type="spellStart"/>
      <w:r>
        <w:t>behavior</w:t>
      </w:r>
      <w:proofErr w:type="spellEnd"/>
      <w:r>
        <w:t xml:space="preserve"> and preference for digital channels.</w:t>
      </w:r>
    </w:p>
    <w:p w:rsidR="00714E02" w:rsidRDefault="00714E02" w:rsidP="00714E02"/>
    <w:p w:rsidR="00714E02" w:rsidRDefault="00714E02" w:rsidP="00714E02">
      <w:pPr>
        <w:pStyle w:val="ListParagraph"/>
        <w:numPr>
          <w:ilvl w:val="0"/>
          <w:numId w:val="7"/>
        </w:numPr>
      </w:pPr>
      <w:r>
        <w:lastRenderedPageBreak/>
        <w:t>Moderate-credit customers in HC segment 0 and KM segment 1 may require a hybrid approach to customer service, with both digital and physical support. Investing in chatbot or AI-assisted support systems that can guide these customers might reduce their need to visit branches or call.</w:t>
      </w:r>
    </w:p>
    <w:p w:rsidR="00714E02" w:rsidRDefault="00714E02" w:rsidP="00714E02"/>
    <w:p w:rsidR="00714E02" w:rsidRDefault="00714E02" w:rsidP="00714E02">
      <w:pPr>
        <w:pStyle w:val="ListParagraph"/>
        <w:numPr>
          <w:ilvl w:val="0"/>
          <w:numId w:val="7"/>
        </w:numPr>
      </w:pPr>
      <w:r>
        <w:t>For low-credit customers, optimize phone-based support with tailored assistance and suggest credit-building programs to help them improve financial literacy and credit scores.</w:t>
      </w:r>
    </w:p>
    <w:p w:rsidR="00714E02" w:rsidRDefault="00714E02" w:rsidP="00714E02"/>
    <w:p w:rsidR="00714E02" w:rsidRDefault="00714E02" w:rsidP="00714E02">
      <w:pPr>
        <w:pStyle w:val="ListParagraph"/>
        <w:numPr>
          <w:ilvl w:val="0"/>
          <w:numId w:val="7"/>
        </w:numPr>
      </w:pPr>
      <w:r>
        <w:t xml:space="preserve">For moderate and low-credit customers, offer incentives or tutorials for using online services to reduce branch and call </w:t>
      </w:r>
      <w:proofErr w:type="spellStart"/>
      <w:r>
        <w:t>center</w:t>
      </w:r>
      <w:proofErr w:type="spellEnd"/>
      <w:r>
        <w:t xml:space="preserve"> visits and to increase their use of online services, educating them about the convenience and benefits of digital banking.</w:t>
      </w:r>
    </w:p>
    <w:p w:rsidR="00714E02" w:rsidRDefault="00714E02" w:rsidP="00714E02"/>
    <w:p w:rsidR="00714E02" w:rsidRDefault="00714E02" w:rsidP="00714E02">
      <w:pPr>
        <w:pStyle w:val="ListParagraph"/>
        <w:numPr>
          <w:ilvl w:val="0"/>
          <w:numId w:val="7"/>
        </w:numPr>
      </w:pPr>
      <w:r>
        <w:t>Implement loyalty programs for high-value, high-credit customers to retain them, focusing on long-term rewards and exclusive privileges. Tailored programs for other segments could encourage increased engagement and usage.</w:t>
      </w:r>
    </w:p>
    <w:p w:rsidR="00714E02" w:rsidRDefault="00714E02" w:rsidP="00714E02"/>
    <w:p w:rsidR="00714E02" w:rsidRDefault="00714E02" w:rsidP="00714E02">
      <w:r>
        <w:t>By leveraging these insights, the company can:</w:t>
      </w:r>
    </w:p>
    <w:p w:rsidR="00714E02" w:rsidRDefault="00714E02" w:rsidP="00714E02">
      <w:pPr>
        <w:pStyle w:val="ListParagraph"/>
        <w:numPr>
          <w:ilvl w:val="0"/>
          <w:numId w:val="11"/>
        </w:numPr>
      </w:pPr>
      <w:r>
        <w:t>Enhance customer satisfaction with more personalized service offerings.</w:t>
      </w:r>
    </w:p>
    <w:p w:rsidR="00476896" w:rsidRDefault="00714E02" w:rsidP="00714E02">
      <w:pPr>
        <w:pStyle w:val="ListParagraph"/>
        <w:numPr>
          <w:ilvl w:val="0"/>
          <w:numId w:val="11"/>
        </w:numPr>
      </w:pPr>
      <w:r>
        <w:t xml:space="preserve">Reduce operational costs by </w:t>
      </w:r>
      <w:proofErr w:type="spellStart"/>
      <w:r>
        <w:t>channeling</w:t>
      </w:r>
      <w:proofErr w:type="spellEnd"/>
      <w:r>
        <w:t xml:space="preserve"> the right customers to digital channels.</w:t>
      </w:r>
    </w:p>
    <w:sectPr w:rsidR="0047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B3242"/>
    <w:multiLevelType w:val="hybridMultilevel"/>
    <w:tmpl w:val="81143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B3320"/>
    <w:multiLevelType w:val="hybridMultilevel"/>
    <w:tmpl w:val="1864FB5A"/>
    <w:lvl w:ilvl="0" w:tplc="A43E54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0578"/>
    <w:multiLevelType w:val="multilevel"/>
    <w:tmpl w:val="E51A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13CC5"/>
    <w:multiLevelType w:val="hybridMultilevel"/>
    <w:tmpl w:val="D2025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010FF"/>
    <w:multiLevelType w:val="hybridMultilevel"/>
    <w:tmpl w:val="EF08C8F0"/>
    <w:lvl w:ilvl="0" w:tplc="5F026C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C1321"/>
    <w:multiLevelType w:val="hybridMultilevel"/>
    <w:tmpl w:val="C4D6B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2BAB0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E2CE0"/>
    <w:multiLevelType w:val="hybridMultilevel"/>
    <w:tmpl w:val="AB380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B51DC"/>
    <w:multiLevelType w:val="hybridMultilevel"/>
    <w:tmpl w:val="3CB0A6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81C3DC0"/>
    <w:multiLevelType w:val="hybridMultilevel"/>
    <w:tmpl w:val="7FBA7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E63E6"/>
    <w:multiLevelType w:val="hybridMultilevel"/>
    <w:tmpl w:val="684E0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C78F9"/>
    <w:multiLevelType w:val="hybridMultilevel"/>
    <w:tmpl w:val="8A66F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607928">
    <w:abstractNumId w:val="2"/>
  </w:num>
  <w:num w:numId="2" w16cid:durableId="78065010">
    <w:abstractNumId w:val="6"/>
  </w:num>
  <w:num w:numId="3" w16cid:durableId="1145899066">
    <w:abstractNumId w:val="1"/>
  </w:num>
  <w:num w:numId="4" w16cid:durableId="211843449">
    <w:abstractNumId w:val="3"/>
  </w:num>
  <w:num w:numId="5" w16cid:durableId="879977028">
    <w:abstractNumId w:val="0"/>
  </w:num>
  <w:num w:numId="6" w16cid:durableId="1596985252">
    <w:abstractNumId w:val="4"/>
  </w:num>
  <w:num w:numId="7" w16cid:durableId="2085106585">
    <w:abstractNumId w:val="5"/>
  </w:num>
  <w:num w:numId="8" w16cid:durableId="1901669200">
    <w:abstractNumId w:val="9"/>
  </w:num>
  <w:num w:numId="9" w16cid:durableId="697239831">
    <w:abstractNumId w:val="10"/>
  </w:num>
  <w:num w:numId="10" w16cid:durableId="95442233">
    <w:abstractNumId w:val="8"/>
  </w:num>
  <w:num w:numId="11" w16cid:durableId="1423990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12"/>
    <w:rsid w:val="00476896"/>
    <w:rsid w:val="00714E02"/>
    <w:rsid w:val="00902DE3"/>
    <w:rsid w:val="00A65F7A"/>
    <w:rsid w:val="00BB5622"/>
    <w:rsid w:val="00BC5F12"/>
    <w:rsid w:val="00DA62E8"/>
    <w:rsid w:val="00E8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376D"/>
  <w15:chartTrackingRefBased/>
  <w15:docId w15:val="{D6EDA4FC-F55A-44CC-B0F1-E86F60CD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6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5892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Rejin Raveendran</dc:creator>
  <cp:keywords/>
  <dc:description/>
  <cp:lastModifiedBy>Rejin Raveendran</cp:lastModifiedBy>
  <cp:revision>1</cp:revision>
  <dcterms:created xsi:type="dcterms:W3CDTF">2024-12-08T11:09:00Z</dcterms:created>
  <dcterms:modified xsi:type="dcterms:W3CDTF">2024-12-12T13:21:00Z</dcterms:modified>
</cp:coreProperties>
</file>