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C113" w14:textId="78B49A33" w:rsidR="000C4234" w:rsidRPr="00E55898" w:rsidRDefault="000C4234" w:rsidP="00555719">
      <w:pPr>
        <w:pStyle w:val="Heading2"/>
        <w:numPr>
          <w:ilvl w:val="0"/>
          <w:numId w:val="0"/>
        </w:numPr>
        <w:jc w:val="center"/>
        <w:rPr>
          <w:b/>
          <w:bCs/>
          <w:sz w:val="36"/>
          <w:szCs w:val="36"/>
        </w:rPr>
      </w:pPr>
      <w:r w:rsidRPr="00E55898">
        <w:rPr>
          <w:b/>
          <w:bCs/>
          <w:sz w:val="36"/>
          <w:szCs w:val="36"/>
        </w:rPr>
        <w:t>Data Analysis Project Report</w:t>
      </w:r>
    </w:p>
    <w:p w14:paraId="3216C64D" w14:textId="34EB190B" w:rsidR="000C4234" w:rsidRPr="009B1569" w:rsidRDefault="000C4234" w:rsidP="00555719">
      <w:pPr>
        <w:pStyle w:val="Heading2"/>
        <w:numPr>
          <w:ilvl w:val="0"/>
          <w:numId w:val="0"/>
        </w:numPr>
        <w:jc w:val="center"/>
        <w:rPr>
          <w:b/>
          <w:bCs/>
        </w:rPr>
      </w:pPr>
      <w:r w:rsidRPr="009B1569">
        <w:rPr>
          <w:b/>
          <w:bCs/>
        </w:rPr>
        <w:t>Eu</w:t>
      </w:r>
      <w:r w:rsidR="009436FC">
        <w:rPr>
          <w:b/>
          <w:bCs/>
        </w:rPr>
        <w:t>ropean</w:t>
      </w:r>
      <w:r w:rsidRPr="009B1569">
        <w:rPr>
          <w:b/>
          <w:bCs/>
        </w:rPr>
        <w:t xml:space="preserve"> </w:t>
      </w:r>
      <w:r w:rsidR="00E6462E" w:rsidRPr="00274FD9">
        <w:rPr>
          <w:b/>
          <w:bCs/>
        </w:rPr>
        <w:t>Housing Market Analysis</w:t>
      </w:r>
    </w:p>
    <w:p w14:paraId="2EC24DFE" w14:textId="787E8AD9" w:rsidR="000C4234" w:rsidRPr="000C4234" w:rsidRDefault="00842160" w:rsidP="000C4234">
      <w:r>
        <w:pict w14:anchorId="6EE5947E">
          <v:rect id="_x0000_i1066" style="width:0;height:1.5pt" o:hralign="center" o:hrstd="t" o:hr="t" fillcolor="#a0a0a0" stroked="f"/>
        </w:pict>
      </w:r>
    </w:p>
    <w:p w14:paraId="58FE18FE" w14:textId="77777777" w:rsidR="009B1569" w:rsidRPr="009B1569" w:rsidRDefault="009B1569" w:rsidP="00555719">
      <w:pPr>
        <w:pStyle w:val="Heading1"/>
        <w:numPr>
          <w:ilvl w:val="0"/>
          <w:numId w:val="0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r w:rsidRPr="009B1569">
        <w:rPr>
          <w:rFonts w:ascii="Arial" w:hAnsi="Arial" w:cs="Arial"/>
          <w:b/>
          <w:bCs/>
          <w:color w:val="auto"/>
          <w:sz w:val="28"/>
          <w:szCs w:val="28"/>
        </w:rPr>
        <w:t>1. Executive Summary</w:t>
      </w:r>
    </w:p>
    <w:p w14:paraId="04C8E788" w14:textId="77777777" w:rsidR="00656770" w:rsidRDefault="000C4234" w:rsidP="000C4234">
      <w:r w:rsidRPr="000C4234">
        <w:t xml:space="preserve">This project </w:t>
      </w:r>
      <w:r w:rsidR="007B7008" w:rsidRPr="000C4234">
        <w:t>analyses</w:t>
      </w:r>
      <w:r w:rsidRPr="000C4234">
        <w:t xml:space="preserve"> the Eurostat Hous</w:t>
      </w:r>
      <w:r w:rsidR="00933049">
        <w:t>e</w:t>
      </w:r>
      <w:r w:rsidRPr="000C4234">
        <w:t xml:space="preserve"> Price Index (HPI) dataset containing quarterly housing</w:t>
      </w:r>
      <w:r w:rsidR="00933049">
        <w:t xml:space="preserve"> </w:t>
      </w:r>
      <w:r w:rsidRPr="000C4234">
        <w:t>price indices across European Union member states and selected European countries.</w:t>
      </w:r>
    </w:p>
    <w:p w14:paraId="73465366" w14:textId="77777777" w:rsidR="00EA3636" w:rsidRDefault="00656770" w:rsidP="00EA3636">
      <w:r>
        <w:t>T</w:t>
      </w:r>
      <w:r w:rsidRPr="00656770">
        <w:t>he HPI measures the price changes of all residential properties purchased by households (flats, detached houses, terraced houses, etc.), both newly built and existing</w:t>
      </w:r>
      <w:r>
        <w:t>.</w:t>
      </w:r>
    </w:p>
    <w:p w14:paraId="161F5A79" w14:textId="4A066B11" w:rsidR="000C4234" w:rsidRPr="00FA47D8" w:rsidRDefault="000C4234" w:rsidP="00EA3636">
      <w:pPr>
        <w:spacing w:before="240"/>
        <w:rPr>
          <w:b/>
          <w:bCs/>
        </w:rPr>
      </w:pPr>
      <w:r w:rsidRPr="00FA47D8">
        <w:rPr>
          <w:b/>
          <w:bCs/>
        </w:rPr>
        <w:t>The objectives of this analysis are</w:t>
      </w:r>
      <w:r w:rsidR="00BD54BA">
        <w:rPr>
          <w:b/>
          <w:bCs/>
        </w:rPr>
        <w:t xml:space="preserve"> </w:t>
      </w:r>
      <w:r w:rsidRPr="00FA47D8">
        <w:rPr>
          <w:b/>
          <w:bCs/>
        </w:rPr>
        <w:t>:</w:t>
      </w:r>
    </w:p>
    <w:p w14:paraId="4BDEA16F" w14:textId="261353C1" w:rsidR="000C4234" w:rsidRPr="000C4234" w:rsidRDefault="000C4234" w:rsidP="009436FC">
      <w:pPr>
        <w:numPr>
          <w:ilvl w:val="0"/>
          <w:numId w:val="30"/>
        </w:numPr>
        <w:spacing w:after="0" w:line="276" w:lineRule="auto"/>
      </w:pPr>
      <w:r w:rsidRPr="000C4234">
        <w:t xml:space="preserve">Examine long-term housing price trends </w:t>
      </w:r>
      <w:r w:rsidR="00FA47D8">
        <w:t xml:space="preserve"> </w:t>
      </w:r>
      <w:r w:rsidR="00FA47D8" w:rsidRPr="00E37D5B">
        <w:t>and short-term market dynamics</w:t>
      </w:r>
    </w:p>
    <w:p w14:paraId="35171054" w14:textId="50228CC5" w:rsidR="00F65815" w:rsidRDefault="00F65815" w:rsidP="009436FC">
      <w:pPr>
        <w:numPr>
          <w:ilvl w:val="0"/>
          <w:numId w:val="30"/>
        </w:numPr>
        <w:spacing w:after="0" w:line="276" w:lineRule="auto"/>
      </w:pPr>
      <w:r>
        <w:t>E</w:t>
      </w:r>
      <w:r w:rsidRPr="00E37D5B">
        <w:t>valuate country-level growth trends</w:t>
      </w:r>
    </w:p>
    <w:p w14:paraId="259BF405" w14:textId="4B885E45" w:rsidR="00F65815" w:rsidRPr="00E37D5B" w:rsidRDefault="00F65815" w:rsidP="009436FC">
      <w:pPr>
        <w:numPr>
          <w:ilvl w:val="0"/>
          <w:numId w:val="30"/>
        </w:numPr>
        <w:spacing w:after="0" w:line="276" w:lineRule="auto"/>
      </w:pPr>
      <w:r>
        <w:t>T</w:t>
      </w:r>
      <w:r w:rsidRPr="00E37D5B">
        <w:t>ime-series analysis using quarterly and annual percentage changes</w:t>
      </w:r>
    </w:p>
    <w:p w14:paraId="68CB569F" w14:textId="77777777" w:rsidR="00F65815" w:rsidRDefault="00F65815" w:rsidP="009436FC">
      <w:pPr>
        <w:numPr>
          <w:ilvl w:val="0"/>
          <w:numId w:val="30"/>
        </w:numPr>
        <w:spacing w:after="0" w:line="276" w:lineRule="auto"/>
      </w:pPr>
      <w:r w:rsidRPr="00E37D5B">
        <w:t>Identif</w:t>
      </w:r>
      <w:r>
        <w:t>y</w:t>
      </w:r>
      <w:r w:rsidRPr="00E37D5B">
        <w:t xml:space="preserve"> high-growth and high-volatility markets through statistical analysis </w:t>
      </w:r>
    </w:p>
    <w:p w14:paraId="1D978EDA" w14:textId="77777777" w:rsidR="009436FC" w:rsidRDefault="009436FC" w:rsidP="009436FC">
      <w:pPr>
        <w:spacing w:after="0" w:line="240" w:lineRule="auto"/>
        <w:ind w:left="720"/>
      </w:pPr>
    </w:p>
    <w:p w14:paraId="60B06AA5" w14:textId="4E4C04FA" w:rsidR="00BC7D4A" w:rsidRDefault="00BC7D4A" w:rsidP="00BC7D4A">
      <w:pPr>
        <w:rPr>
          <w:b/>
          <w:bCs/>
        </w:rPr>
      </w:pPr>
      <w:r>
        <w:rPr>
          <w:b/>
          <w:bCs/>
        </w:rPr>
        <w:t>Key Highlights</w:t>
      </w:r>
      <w:r w:rsidR="00BD54BA">
        <w:rPr>
          <w:b/>
          <w:bCs/>
        </w:rPr>
        <w:t xml:space="preserve"> </w:t>
      </w:r>
      <w:r w:rsidRPr="00BC7D4A">
        <w:rPr>
          <w:b/>
          <w:bCs/>
        </w:rPr>
        <w:t>:</w:t>
      </w:r>
    </w:p>
    <w:p w14:paraId="250C7272" w14:textId="2B96A03D" w:rsidR="00BC7D4A" w:rsidRDefault="00BC7D4A" w:rsidP="00BC7D4A">
      <w:pPr>
        <w:pStyle w:val="ListParagraph"/>
        <w:numPr>
          <w:ilvl w:val="0"/>
          <w:numId w:val="20"/>
        </w:numPr>
      </w:pPr>
      <w:r w:rsidRPr="00BC7D4A">
        <w:t xml:space="preserve">House prices up by 5.1% in the </w:t>
      </w:r>
      <w:r w:rsidR="00362271">
        <w:t>E</w:t>
      </w:r>
      <w:r w:rsidRPr="00BC7D4A">
        <w:t>uro area and up by 5.5% in the European Union in Q3 2025, compared with the same quarter of 2024.</w:t>
      </w:r>
    </w:p>
    <w:p w14:paraId="1DD87F2E" w14:textId="4179CA65" w:rsidR="004E235F" w:rsidRPr="004E235F" w:rsidRDefault="004E235F" w:rsidP="004E235F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E235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Highest Annual House Price Increase</w:t>
      </w:r>
    </w:p>
    <w:p w14:paraId="1593BE30" w14:textId="0EA4541F" w:rsidR="004E235F" w:rsidRPr="004E235F" w:rsidRDefault="004E235F" w:rsidP="004E235F">
      <w:pPr>
        <w:pStyle w:val="NormalWeb"/>
        <w:numPr>
          <w:ilvl w:val="1"/>
          <w:numId w:val="24"/>
        </w:numPr>
        <w:spacing w:before="0" w:beforeAutospacing="0" w:after="0" w:afterAutospacing="0" w:line="276" w:lineRule="auto"/>
        <w:rPr>
          <w:rFonts w:ascii="Aptos" w:hAnsi="Aptos"/>
        </w:rPr>
      </w:pPr>
      <w:r w:rsidRPr="004E235F">
        <w:rPr>
          <w:rStyle w:val="Strong"/>
          <w:rFonts w:ascii="Aptos" w:eastAsiaTheme="majorEastAsia" w:hAnsi="Aptos"/>
          <w:b w:val="0"/>
          <w:bCs w:val="0"/>
        </w:rPr>
        <w:t>Country</w:t>
      </w:r>
      <w:r w:rsidR="00450DAC">
        <w:rPr>
          <w:rStyle w:val="Strong"/>
          <w:rFonts w:ascii="Aptos" w:eastAsiaTheme="majorEastAsia" w:hAnsi="Aptos"/>
          <w:b w:val="0"/>
          <w:bCs w:val="0"/>
        </w:rPr>
        <w:t xml:space="preserve"> </w:t>
      </w:r>
      <w:r w:rsidRPr="004E235F">
        <w:rPr>
          <w:rStyle w:val="Strong"/>
          <w:rFonts w:ascii="Aptos" w:eastAsiaTheme="majorEastAsia" w:hAnsi="Aptos"/>
          <w:b w:val="0"/>
          <w:bCs w:val="0"/>
        </w:rPr>
        <w:t>:</w:t>
      </w:r>
      <w:r w:rsidR="00450DAC">
        <w:rPr>
          <w:rStyle w:val="Strong"/>
          <w:rFonts w:ascii="Aptos" w:eastAsiaTheme="majorEastAsia" w:hAnsi="Aptos"/>
          <w:b w:val="0"/>
          <w:bCs w:val="0"/>
        </w:rPr>
        <w:t xml:space="preserve"> </w:t>
      </w:r>
      <w:r w:rsidRPr="004E235F">
        <w:rPr>
          <w:rFonts w:ascii="Aptos" w:hAnsi="Aptos"/>
        </w:rPr>
        <w:t xml:space="preserve"> </w:t>
      </w:r>
      <w:r w:rsidRPr="00450DAC">
        <w:rPr>
          <w:rFonts w:ascii="Aptos" w:hAnsi="Aptos"/>
          <w:b/>
          <w:bCs/>
          <w:color w:val="000000" w:themeColor="text1"/>
        </w:rPr>
        <w:t>Türkiye</w:t>
      </w:r>
    </w:p>
    <w:p w14:paraId="5FF3ECEF" w14:textId="513BE906" w:rsidR="004E235F" w:rsidRPr="004E235F" w:rsidRDefault="004E235F" w:rsidP="004E235F">
      <w:pPr>
        <w:pStyle w:val="NormalWeb"/>
        <w:numPr>
          <w:ilvl w:val="1"/>
          <w:numId w:val="24"/>
        </w:numPr>
        <w:spacing w:before="0" w:beforeAutospacing="0" w:after="0" w:afterAutospacing="0" w:line="276" w:lineRule="auto"/>
        <w:rPr>
          <w:rFonts w:ascii="Aptos" w:hAnsi="Aptos"/>
        </w:rPr>
      </w:pPr>
      <w:r w:rsidRPr="004E235F">
        <w:rPr>
          <w:rStyle w:val="Strong"/>
          <w:rFonts w:ascii="Aptos" w:eastAsiaTheme="majorEastAsia" w:hAnsi="Aptos"/>
          <w:b w:val="0"/>
          <w:bCs w:val="0"/>
        </w:rPr>
        <w:t>Period</w:t>
      </w:r>
      <w:r w:rsidR="00450DAC">
        <w:rPr>
          <w:rStyle w:val="Strong"/>
          <w:rFonts w:ascii="Aptos" w:eastAsiaTheme="majorEastAsia" w:hAnsi="Aptos"/>
          <w:b w:val="0"/>
          <w:bCs w:val="0"/>
        </w:rPr>
        <w:t xml:space="preserve"> </w:t>
      </w:r>
      <w:r w:rsidRPr="004E235F">
        <w:rPr>
          <w:rStyle w:val="Strong"/>
          <w:rFonts w:ascii="Aptos" w:eastAsiaTheme="majorEastAsia" w:hAnsi="Aptos"/>
          <w:b w:val="0"/>
          <w:bCs w:val="0"/>
        </w:rPr>
        <w:t>:</w:t>
      </w:r>
      <w:r w:rsidRPr="004E235F">
        <w:rPr>
          <w:rFonts w:ascii="Aptos" w:hAnsi="Aptos"/>
        </w:rPr>
        <w:t xml:space="preserve"> </w:t>
      </w:r>
      <w:r w:rsidR="00450DAC">
        <w:rPr>
          <w:rFonts w:ascii="Aptos" w:hAnsi="Aptos"/>
        </w:rPr>
        <w:t xml:space="preserve"> </w:t>
      </w:r>
      <w:r w:rsidRPr="00450DAC">
        <w:rPr>
          <w:rFonts w:ascii="Aptos" w:hAnsi="Aptos"/>
          <w:b/>
          <w:bCs/>
          <w:color w:val="000000" w:themeColor="text1"/>
        </w:rPr>
        <w:t>Q3 2022</w:t>
      </w:r>
    </w:p>
    <w:p w14:paraId="2BD58130" w14:textId="02677B20" w:rsidR="004E235F" w:rsidRPr="004E235F" w:rsidRDefault="004E235F" w:rsidP="00EA3636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rPr>
          <w:rFonts w:ascii="Aptos" w:hAnsi="Aptos"/>
          <w:b/>
          <w:bCs/>
        </w:rPr>
      </w:pPr>
      <w:r w:rsidRPr="004E235F">
        <w:rPr>
          <w:rStyle w:val="Strong"/>
          <w:rFonts w:ascii="Aptos" w:eastAsiaTheme="majorEastAsia" w:hAnsi="Aptos"/>
          <w:b w:val="0"/>
          <w:bCs w:val="0"/>
        </w:rPr>
        <w:t>Annual Growth</w:t>
      </w:r>
      <w:r w:rsidR="00450DAC">
        <w:rPr>
          <w:rStyle w:val="Strong"/>
          <w:rFonts w:ascii="Aptos" w:eastAsiaTheme="majorEastAsia" w:hAnsi="Aptos"/>
          <w:b w:val="0"/>
          <w:bCs w:val="0"/>
        </w:rPr>
        <w:t xml:space="preserve"> </w:t>
      </w:r>
      <w:r w:rsidRPr="004E235F">
        <w:rPr>
          <w:rStyle w:val="Strong"/>
          <w:rFonts w:ascii="Aptos" w:eastAsiaTheme="majorEastAsia" w:hAnsi="Aptos"/>
          <w:b w:val="0"/>
          <w:bCs w:val="0"/>
        </w:rPr>
        <w:t>:</w:t>
      </w:r>
      <w:r w:rsidRPr="004E235F">
        <w:rPr>
          <w:rFonts w:ascii="Aptos" w:hAnsi="Aptos"/>
          <w:b/>
          <w:bCs/>
        </w:rPr>
        <w:t xml:space="preserve"> </w:t>
      </w:r>
      <w:r w:rsidR="00450DAC">
        <w:rPr>
          <w:rFonts w:ascii="Aptos" w:hAnsi="Aptos"/>
          <w:b/>
          <w:bCs/>
        </w:rPr>
        <w:t xml:space="preserve"> </w:t>
      </w:r>
      <w:r w:rsidRPr="00BD54BA">
        <w:rPr>
          <w:rStyle w:val="Strong"/>
          <w:rFonts w:ascii="Aptos" w:eastAsiaTheme="majorEastAsia" w:hAnsi="Aptos"/>
          <w:color w:val="3A7C22" w:themeColor="accent6" w:themeShade="BF"/>
        </w:rPr>
        <w:t>180.5%</w:t>
      </w:r>
    </w:p>
    <w:p w14:paraId="38C9EBA6" w14:textId="51679575" w:rsidR="004E235F" w:rsidRDefault="004E235F" w:rsidP="009436FC">
      <w:pPr>
        <w:pStyle w:val="NormalWeb"/>
        <w:spacing w:before="0" w:beforeAutospacing="0" w:after="240" w:afterAutospacing="0"/>
        <w:ind w:left="720"/>
        <w:rPr>
          <w:rFonts w:ascii="Aptos" w:hAnsi="Aptos"/>
        </w:rPr>
      </w:pPr>
      <w:r w:rsidRPr="004E235F">
        <w:rPr>
          <w:rFonts w:ascii="Aptos" w:hAnsi="Aptos"/>
        </w:rPr>
        <w:t xml:space="preserve">Indicates extremely high inflation and </w:t>
      </w:r>
      <w:r w:rsidR="009436FC" w:rsidRPr="009436FC">
        <w:rPr>
          <w:rFonts w:ascii="Aptos" w:hAnsi="Aptos"/>
        </w:rPr>
        <w:t>strong housing demand</w:t>
      </w:r>
      <w:r w:rsidRPr="004E235F">
        <w:rPr>
          <w:rFonts w:ascii="Aptos" w:hAnsi="Aptos"/>
        </w:rPr>
        <w:t>.</w:t>
      </w:r>
    </w:p>
    <w:p w14:paraId="28041F12" w14:textId="48B87335" w:rsidR="00450DAC" w:rsidRPr="004E235F" w:rsidRDefault="00450DAC" w:rsidP="00450DAC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50DA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Largest Annual </w:t>
      </w:r>
      <w:r w:rsidR="0036227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House Price </w:t>
      </w:r>
      <w:r w:rsidRPr="00450DA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Decline</w:t>
      </w:r>
    </w:p>
    <w:p w14:paraId="4128BB5F" w14:textId="56EB3C56" w:rsidR="00450DAC" w:rsidRPr="004E235F" w:rsidRDefault="00450DAC" w:rsidP="00450DAC">
      <w:pPr>
        <w:pStyle w:val="NormalWeb"/>
        <w:numPr>
          <w:ilvl w:val="1"/>
          <w:numId w:val="24"/>
        </w:numPr>
        <w:spacing w:before="0" w:beforeAutospacing="0" w:after="0" w:afterAutospacing="0" w:line="276" w:lineRule="auto"/>
        <w:rPr>
          <w:rFonts w:ascii="Aptos" w:hAnsi="Aptos"/>
        </w:rPr>
      </w:pPr>
      <w:r w:rsidRPr="004E235F">
        <w:rPr>
          <w:rStyle w:val="Strong"/>
          <w:rFonts w:ascii="Aptos" w:eastAsiaTheme="majorEastAsia" w:hAnsi="Aptos"/>
          <w:b w:val="0"/>
          <w:bCs w:val="0"/>
        </w:rPr>
        <w:t>Country</w:t>
      </w:r>
      <w:r>
        <w:rPr>
          <w:rStyle w:val="Strong"/>
          <w:rFonts w:ascii="Aptos" w:eastAsiaTheme="majorEastAsia" w:hAnsi="Aptos"/>
          <w:b w:val="0"/>
          <w:bCs w:val="0"/>
        </w:rPr>
        <w:t xml:space="preserve"> </w:t>
      </w:r>
      <w:r w:rsidRPr="004E235F">
        <w:rPr>
          <w:rStyle w:val="Strong"/>
          <w:rFonts w:ascii="Aptos" w:eastAsiaTheme="majorEastAsia" w:hAnsi="Aptos"/>
          <w:b w:val="0"/>
          <w:bCs w:val="0"/>
        </w:rPr>
        <w:t>:</w:t>
      </w:r>
      <w:r w:rsidRPr="004E235F">
        <w:rPr>
          <w:rFonts w:ascii="Aptos" w:hAnsi="Aptos"/>
        </w:rPr>
        <w:t xml:space="preserve"> </w:t>
      </w:r>
      <w:r>
        <w:rPr>
          <w:rFonts w:ascii="Aptos" w:hAnsi="Aptos"/>
        </w:rPr>
        <w:t xml:space="preserve"> </w:t>
      </w:r>
      <w:r w:rsidRPr="00BD54BA">
        <w:rPr>
          <w:rFonts w:ascii="Aptos" w:hAnsi="Aptos"/>
          <w:b/>
          <w:bCs/>
        </w:rPr>
        <w:t>Luxembourg</w:t>
      </w:r>
    </w:p>
    <w:p w14:paraId="52A91070" w14:textId="1976948D" w:rsidR="00450DAC" w:rsidRPr="004E235F" w:rsidRDefault="00450DAC" w:rsidP="00450DAC">
      <w:pPr>
        <w:pStyle w:val="NormalWeb"/>
        <w:numPr>
          <w:ilvl w:val="1"/>
          <w:numId w:val="24"/>
        </w:numPr>
        <w:spacing w:before="0" w:beforeAutospacing="0" w:after="0" w:afterAutospacing="0" w:line="276" w:lineRule="auto"/>
        <w:rPr>
          <w:rFonts w:ascii="Aptos" w:hAnsi="Aptos"/>
        </w:rPr>
      </w:pPr>
      <w:r w:rsidRPr="004E235F">
        <w:rPr>
          <w:rStyle w:val="Strong"/>
          <w:rFonts w:ascii="Aptos" w:eastAsiaTheme="majorEastAsia" w:hAnsi="Aptos"/>
          <w:b w:val="0"/>
          <w:bCs w:val="0"/>
        </w:rPr>
        <w:t>Period</w:t>
      </w:r>
      <w:r>
        <w:rPr>
          <w:rStyle w:val="Strong"/>
          <w:rFonts w:ascii="Aptos" w:eastAsiaTheme="majorEastAsia" w:hAnsi="Aptos"/>
          <w:b w:val="0"/>
          <w:bCs w:val="0"/>
        </w:rPr>
        <w:t xml:space="preserve"> </w:t>
      </w:r>
      <w:r w:rsidRPr="004E235F">
        <w:rPr>
          <w:rStyle w:val="Strong"/>
          <w:rFonts w:ascii="Aptos" w:eastAsiaTheme="majorEastAsia" w:hAnsi="Aptos"/>
          <w:b w:val="0"/>
          <w:bCs w:val="0"/>
        </w:rPr>
        <w:t>:</w:t>
      </w:r>
      <w:r w:rsidRPr="004E235F">
        <w:rPr>
          <w:rFonts w:ascii="Aptos" w:hAnsi="Aptos"/>
        </w:rPr>
        <w:t xml:space="preserve"> </w:t>
      </w:r>
      <w:r>
        <w:rPr>
          <w:rFonts w:ascii="Aptos" w:hAnsi="Aptos"/>
        </w:rPr>
        <w:t xml:space="preserve"> </w:t>
      </w:r>
      <w:r w:rsidRPr="00BD54BA">
        <w:rPr>
          <w:rFonts w:ascii="Aptos" w:hAnsi="Aptos"/>
          <w:b/>
          <w:bCs/>
        </w:rPr>
        <w:t>Q4 2023</w:t>
      </w:r>
    </w:p>
    <w:p w14:paraId="3AE88C3A" w14:textId="752D9F84" w:rsidR="00450DAC" w:rsidRPr="00450DAC" w:rsidRDefault="00450DAC" w:rsidP="00EA3636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rPr>
          <w:rFonts w:ascii="Aptos" w:hAnsi="Aptos"/>
          <w:b/>
          <w:bCs/>
        </w:rPr>
      </w:pPr>
      <w:r w:rsidRPr="004E235F">
        <w:rPr>
          <w:rStyle w:val="Strong"/>
          <w:rFonts w:ascii="Aptos" w:eastAsiaTheme="majorEastAsia" w:hAnsi="Aptos"/>
          <w:b w:val="0"/>
          <w:bCs w:val="0"/>
        </w:rPr>
        <w:t>Annual Growth</w:t>
      </w:r>
      <w:r>
        <w:rPr>
          <w:rStyle w:val="Strong"/>
          <w:rFonts w:ascii="Aptos" w:eastAsiaTheme="majorEastAsia" w:hAnsi="Aptos"/>
          <w:b w:val="0"/>
          <w:bCs w:val="0"/>
        </w:rPr>
        <w:t xml:space="preserve"> </w:t>
      </w:r>
      <w:r w:rsidRPr="004E235F">
        <w:rPr>
          <w:rStyle w:val="Strong"/>
          <w:rFonts w:ascii="Aptos" w:eastAsiaTheme="majorEastAsia" w:hAnsi="Aptos"/>
          <w:b w:val="0"/>
          <w:bCs w:val="0"/>
        </w:rPr>
        <w:t>:</w:t>
      </w:r>
      <w:r w:rsidRPr="004E235F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 xml:space="preserve"> </w:t>
      </w:r>
      <w:r w:rsidRPr="00450DAC">
        <w:rPr>
          <w:rFonts w:ascii="Aptos" w:eastAsiaTheme="majorEastAsia" w:hAnsi="Aptos"/>
          <w:b/>
          <w:bCs/>
          <w:color w:val="EE0000"/>
        </w:rPr>
        <w:t>–14.5%</w:t>
      </w:r>
    </w:p>
    <w:p w14:paraId="1FF23C8B" w14:textId="6547D863" w:rsidR="00450DAC" w:rsidRDefault="00450DAC" w:rsidP="00BD54BA">
      <w:pPr>
        <w:pStyle w:val="NormalWeb"/>
        <w:spacing w:before="0" w:beforeAutospacing="0" w:after="240" w:afterAutospacing="0"/>
        <w:ind w:left="720"/>
        <w:rPr>
          <w:rFonts w:ascii="Aptos" w:hAnsi="Aptos"/>
        </w:rPr>
      </w:pPr>
      <w:r w:rsidRPr="00BD54BA">
        <w:rPr>
          <w:rFonts w:ascii="Aptos" w:hAnsi="Aptos"/>
        </w:rPr>
        <w:t>Reflects a significant housing market correction.</w:t>
      </w:r>
      <w:r w:rsidR="00842160" w:rsidRPr="00842160">
        <w:t xml:space="preserve"> </w:t>
      </w:r>
    </w:p>
    <w:p w14:paraId="75C91E7D" w14:textId="77777777" w:rsidR="00362271" w:rsidRDefault="00362271" w:rsidP="00BD54BA">
      <w:pPr>
        <w:pStyle w:val="NormalWeb"/>
        <w:spacing w:before="0" w:beforeAutospacing="0" w:after="240" w:afterAutospacing="0"/>
        <w:ind w:left="720"/>
        <w:rPr>
          <w:rFonts w:ascii="Aptos" w:hAnsi="Aptos"/>
        </w:rPr>
      </w:pPr>
    </w:p>
    <w:p w14:paraId="6C584794" w14:textId="0BD2129D" w:rsidR="00EA3636" w:rsidRDefault="00842160" w:rsidP="00362271">
      <w:pPr>
        <w:rPr>
          <w:b/>
          <w:bCs/>
        </w:rPr>
      </w:pPr>
      <w:r>
        <w:pict w14:anchorId="76C8AE42">
          <v:rect id="_x0000_i1067" style="width:0;height:1.5pt" o:hralign="center" o:hrstd="t" o:hr="t" fillcolor="#a0a0a0" stroked="f"/>
        </w:pict>
      </w:r>
    </w:p>
    <w:p w14:paraId="24C8A72C" w14:textId="3AF25018" w:rsidR="00EA3636" w:rsidRPr="00BD54BA" w:rsidRDefault="00EA3636" w:rsidP="00555719">
      <w:pPr>
        <w:pStyle w:val="Heading1"/>
        <w:numPr>
          <w:ilvl w:val="0"/>
          <w:numId w:val="0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2. </w:t>
      </w:r>
      <w:r w:rsidRPr="00BD54BA">
        <w:rPr>
          <w:rFonts w:ascii="Arial" w:hAnsi="Arial" w:cs="Arial"/>
          <w:b/>
          <w:bCs/>
          <w:color w:val="auto"/>
          <w:sz w:val="28"/>
          <w:szCs w:val="28"/>
        </w:rPr>
        <w:t>Dataset Overview</w:t>
      </w:r>
      <w:r w:rsidRPr="00EA3636">
        <w:rPr>
          <w:rFonts w:ascii="Arial" w:hAnsi="Arial" w:cs="Arial"/>
          <w:b/>
          <w:bCs/>
          <w:color w:val="auto"/>
          <w:sz w:val="28"/>
          <w:szCs w:val="28"/>
        </w:rPr>
        <w:t xml:space="preserve"> :</w:t>
      </w:r>
    </w:p>
    <w:p w14:paraId="40C21B07" w14:textId="60A7CE28" w:rsidR="00EA3636" w:rsidRPr="00BD54BA" w:rsidRDefault="00EA3636" w:rsidP="00EA3636">
      <w:pPr>
        <w:numPr>
          <w:ilvl w:val="0"/>
          <w:numId w:val="31"/>
        </w:numPr>
        <w:spacing w:after="0" w:line="360" w:lineRule="auto"/>
      </w:pPr>
      <w:r w:rsidRPr="00BD54BA">
        <w:t>The dataset covers 2015–2025 housing price trends</w:t>
      </w:r>
    </w:p>
    <w:p w14:paraId="71939F6D" w14:textId="209CC3F4" w:rsidR="00EA3636" w:rsidRPr="00BD54BA" w:rsidRDefault="00EA3636" w:rsidP="00EA3636">
      <w:pPr>
        <w:numPr>
          <w:ilvl w:val="0"/>
          <w:numId w:val="31"/>
        </w:numPr>
        <w:spacing w:after="0" w:line="360" w:lineRule="auto"/>
      </w:pPr>
      <w:r w:rsidRPr="00BD54BA">
        <w:t>Includes 33 European countries and regional aggregates</w:t>
      </w:r>
    </w:p>
    <w:p w14:paraId="4758082A" w14:textId="392B2A75" w:rsidR="00EA3636" w:rsidRPr="00BD54BA" w:rsidRDefault="00EA3636" w:rsidP="00EA3636">
      <w:pPr>
        <w:numPr>
          <w:ilvl w:val="0"/>
          <w:numId w:val="31"/>
        </w:numPr>
        <w:spacing w:after="0" w:line="360" w:lineRule="auto"/>
      </w:pPr>
      <w:r w:rsidRPr="00BD54BA">
        <w:t xml:space="preserve">Total records </w:t>
      </w:r>
      <w:r w:rsidR="00F259DE" w:rsidRPr="00BD54BA">
        <w:t>analysed</w:t>
      </w:r>
      <w:r w:rsidRPr="00BD54BA">
        <w:t>: 1,419 quarterly observations</w:t>
      </w:r>
    </w:p>
    <w:p w14:paraId="173E1EEF" w14:textId="77777777" w:rsidR="00EA3636" w:rsidRPr="00BD54BA" w:rsidRDefault="00EA3636" w:rsidP="00EA3636">
      <w:pPr>
        <w:numPr>
          <w:ilvl w:val="0"/>
          <w:numId w:val="31"/>
        </w:numPr>
        <w:spacing w:after="0" w:line="360" w:lineRule="auto"/>
      </w:pPr>
      <w:r w:rsidRPr="00BD54BA">
        <w:t>Metrics include:</w:t>
      </w:r>
    </w:p>
    <w:p w14:paraId="45356AF9" w14:textId="77777777" w:rsidR="00EA3636" w:rsidRPr="00BD54BA" w:rsidRDefault="00EA3636" w:rsidP="00EA3636">
      <w:pPr>
        <w:numPr>
          <w:ilvl w:val="1"/>
          <w:numId w:val="31"/>
        </w:numPr>
        <w:spacing w:after="0" w:line="276" w:lineRule="auto"/>
      </w:pPr>
      <w:r w:rsidRPr="00BD54BA">
        <w:t>Price Index</w:t>
      </w:r>
    </w:p>
    <w:p w14:paraId="2D55BC7B" w14:textId="77777777" w:rsidR="00EA3636" w:rsidRPr="00BD54BA" w:rsidRDefault="00EA3636" w:rsidP="00EA3636">
      <w:pPr>
        <w:numPr>
          <w:ilvl w:val="1"/>
          <w:numId w:val="31"/>
        </w:numPr>
        <w:spacing w:after="0" w:line="276" w:lineRule="auto"/>
      </w:pPr>
      <w:r w:rsidRPr="00BD54BA">
        <w:t>Quarterly Rate of Change</w:t>
      </w:r>
    </w:p>
    <w:p w14:paraId="4D2C9559" w14:textId="77777777" w:rsidR="00EA3636" w:rsidRPr="00EA3636" w:rsidRDefault="00EA3636" w:rsidP="00EA3636">
      <w:pPr>
        <w:numPr>
          <w:ilvl w:val="1"/>
          <w:numId w:val="31"/>
        </w:numPr>
        <w:spacing w:after="0" w:line="276" w:lineRule="auto"/>
      </w:pPr>
      <w:r w:rsidRPr="00BD54BA">
        <w:t>Annual Rate of Change</w:t>
      </w:r>
    </w:p>
    <w:p w14:paraId="426A48EE" w14:textId="77777777" w:rsidR="00EA3636" w:rsidRPr="00EA3636" w:rsidRDefault="00EA3636" w:rsidP="00EA3636">
      <w:pPr>
        <w:spacing w:after="0" w:line="276" w:lineRule="auto"/>
        <w:ind w:left="1440"/>
      </w:pPr>
    </w:p>
    <w:p w14:paraId="027CA4E3" w14:textId="703019DF" w:rsidR="00EA3636" w:rsidRPr="00EA3636" w:rsidRDefault="00EA3636" w:rsidP="00EA3636">
      <w:pPr>
        <w:spacing w:line="240" w:lineRule="auto"/>
      </w:pPr>
      <w:r>
        <w:rPr>
          <w:b/>
          <w:bCs/>
        </w:rPr>
        <w:t xml:space="preserve"> </w:t>
      </w:r>
      <w:r w:rsidRPr="00EA3636">
        <w:rPr>
          <w:b/>
          <w:bCs/>
        </w:rPr>
        <w:t>Price Index (2015 = 100)</w:t>
      </w:r>
      <w:r w:rsidRPr="00EA3636">
        <w:rPr>
          <w:b/>
          <w:bCs/>
        </w:rPr>
        <w:tab/>
      </w:r>
      <w:r w:rsidRPr="00EA3636">
        <w:rPr>
          <w:b/>
          <w:bCs/>
        </w:rPr>
        <w:tab/>
      </w:r>
      <w:r w:rsidRPr="00EA3636">
        <w:rPr>
          <w:b/>
          <w:bCs/>
        </w:rPr>
        <w:tab/>
      </w:r>
      <w:r w:rsidRPr="00EA3636">
        <w:rPr>
          <w:b/>
          <w:bCs/>
        </w:rPr>
        <w:tab/>
      </w:r>
      <w:r w:rsidRPr="00EA3636">
        <w:rPr>
          <w:b/>
          <w:bCs/>
        </w:rPr>
        <w:tab/>
      </w:r>
      <w:r w:rsidRPr="00EA3636">
        <w:t xml:space="preserve">Time frequency: </w:t>
      </w:r>
      <w:r w:rsidRPr="00EA3636">
        <w:rPr>
          <w:b/>
          <w:bCs/>
        </w:rPr>
        <w:t>Quarterly</w:t>
      </w:r>
    </w:p>
    <w:p w14:paraId="02CE4474" w14:textId="77777777" w:rsidR="00EA3636" w:rsidRPr="00EA3636" w:rsidRDefault="00EA3636" w:rsidP="00F259DE">
      <w:pPr>
        <w:pStyle w:val="ListParagraph"/>
        <w:numPr>
          <w:ilvl w:val="0"/>
          <w:numId w:val="35"/>
        </w:numPr>
        <w:spacing w:after="0"/>
      </w:pPr>
      <w:r w:rsidRPr="00EA3636">
        <w:t>Base year = 2015</w:t>
      </w:r>
    </w:p>
    <w:p w14:paraId="3E24BB28" w14:textId="369B6F5D" w:rsidR="00EA3636" w:rsidRPr="00EA3636" w:rsidRDefault="00EA3636" w:rsidP="00F259DE">
      <w:pPr>
        <w:pStyle w:val="ListParagraph"/>
        <w:numPr>
          <w:ilvl w:val="0"/>
          <w:numId w:val="35"/>
        </w:numPr>
        <w:spacing w:after="0"/>
      </w:pPr>
      <w:r w:rsidRPr="00EA3636">
        <w:t xml:space="preserve">Value 100 </w:t>
      </w:r>
      <w:r w:rsidR="00A8795D">
        <w:t xml:space="preserve"> </w:t>
      </w:r>
      <w:r w:rsidRPr="00EA3636">
        <w:t xml:space="preserve">→ </w:t>
      </w:r>
      <w:r>
        <w:t xml:space="preserve">  </w:t>
      </w:r>
      <w:r w:rsidRPr="00EA3636">
        <w:t>price level in 2015</w:t>
      </w:r>
    </w:p>
    <w:p w14:paraId="222CD408" w14:textId="040C0E8B" w:rsidR="00EA3636" w:rsidRPr="00EA3636" w:rsidRDefault="00EA3636" w:rsidP="00F259DE">
      <w:pPr>
        <w:pStyle w:val="ListParagraph"/>
        <w:numPr>
          <w:ilvl w:val="0"/>
          <w:numId w:val="35"/>
        </w:numPr>
        <w:spacing w:after="0"/>
      </w:pPr>
      <w:r w:rsidRPr="00EA3636">
        <w:t xml:space="preserve">120 </w:t>
      </w:r>
      <w:r w:rsidR="00A8795D">
        <w:t xml:space="preserve"> </w:t>
      </w:r>
      <w:r w:rsidRPr="00EA3636">
        <w:t xml:space="preserve">→ </w:t>
      </w:r>
      <w:r>
        <w:t xml:space="preserve">  </w:t>
      </w:r>
      <w:r w:rsidRPr="00EA3636">
        <w:t>20% higher than 2015</w:t>
      </w:r>
    </w:p>
    <w:p w14:paraId="2CCEF553" w14:textId="5D96901C" w:rsidR="00EA3636" w:rsidRDefault="00EA3636" w:rsidP="00F259DE">
      <w:pPr>
        <w:pStyle w:val="ListParagraph"/>
        <w:numPr>
          <w:ilvl w:val="0"/>
          <w:numId w:val="35"/>
        </w:numPr>
        <w:spacing w:after="0"/>
      </w:pPr>
      <w:r w:rsidRPr="00EA3636">
        <w:t>90</w:t>
      </w:r>
      <w:r w:rsidR="00A8795D">
        <w:t xml:space="preserve"> </w:t>
      </w:r>
      <w:r w:rsidRPr="00EA3636">
        <w:t xml:space="preserve"> → </w:t>
      </w:r>
      <w:r>
        <w:t xml:space="preserve">  </w:t>
      </w:r>
      <w:r w:rsidRPr="00EA3636">
        <w:t>10% lower than 2015</w:t>
      </w:r>
    </w:p>
    <w:p w14:paraId="513012BC" w14:textId="77777777" w:rsidR="00286740" w:rsidRDefault="00286740" w:rsidP="00286740">
      <w:pPr>
        <w:pStyle w:val="ListParagraph"/>
        <w:spacing w:after="0"/>
      </w:pPr>
    </w:p>
    <w:p w14:paraId="3A7519EC" w14:textId="41ACF7C6" w:rsidR="00286740" w:rsidRPr="00286740" w:rsidRDefault="00286740" w:rsidP="00286740">
      <w:pPr>
        <w:pStyle w:val="ListParagraph"/>
        <w:spacing w:after="0"/>
        <w:ind w:left="0"/>
        <w:rPr>
          <w:lang w:val="fr-FR"/>
        </w:rPr>
      </w:pPr>
      <w:r w:rsidRPr="00286740">
        <w:rPr>
          <w:sz w:val="20"/>
          <w:szCs w:val="20"/>
          <w:lang w:val="fr-FR"/>
        </w:rPr>
        <w:t>source:</w:t>
      </w:r>
      <w:r w:rsidRPr="00286740">
        <w:rPr>
          <w:lang w:val="fr-FR"/>
        </w:rPr>
        <w:t xml:space="preserve"> </w:t>
      </w:r>
      <w:hyperlink r:id="rId5" w:history="1">
        <w:r w:rsidRPr="00286740">
          <w:rPr>
            <w:rStyle w:val="Hyperlink"/>
            <w:sz w:val="18"/>
            <w:szCs w:val="18"/>
            <w:lang w:val="fr-FR"/>
          </w:rPr>
          <w:t>h</w:t>
        </w:r>
        <w:r w:rsidRPr="00286740">
          <w:rPr>
            <w:rStyle w:val="Hyperlink"/>
            <w:sz w:val="18"/>
            <w:szCs w:val="18"/>
            <w:lang w:val="fr-FR"/>
          </w:rPr>
          <w:t>t</w:t>
        </w:r>
        <w:r w:rsidRPr="00286740">
          <w:rPr>
            <w:rStyle w:val="Hyperlink"/>
            <w:sz w:val="18"/>
            <w:szCs w:val="18"/>
            <w:lang w:val="fr-FR"/>
          </w:rPr>
          <w:t>tps://ec.europa.eu/eurostat/databrowser/view/teicp270/default/table?lang=en&amp;category=t_prc.t_prc_hps</w:t>
        </w:r>
      </w:hyperlink>
    </w:p>
    <w:p w14:paraId="720D6B9B" w14:textId="1F187F80" w:rsidR="005D02CE" w:rsidRPr="00286740" w:rsidRDefault="00286740" w:rsidP="00286740">
      <w:pPr>
        <w:spacing w:after="0"/>
        <w:rPr>
          <w:lang w:val="fr-FR"/>
        </w:rPr>
      </w:pPr>
      <w:r>
        <w:pict w14:anchorId="6B00F734">
          <v:rect id="_x0000_i1103" style="width:0;height:1.5pt" o:hralign="center" o:hrstd="t" o:hr="t" fillcolor="#a0a0a0" stroked="f"/>
        </w:pict>
      </w:r>
    </w:p>
    <w:p w14:paraId="617F0D78" w14:textId="6E090490" w:rsidR="005D02CE" w:rsidRDefault="005D02CE" w:rsidP="005D02CE"/>
    <w:p w14:paraId="2C766043" w14:textId="7DCFD4F8" w:rsidR="00A076CF" w:rsidRDefault="00A076CF" w:rsidP="0088074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3. Trend Analysis</w:t>
      </w:r>
      <w:r w:rsidRPr="00EA3636">
        <w:rPr>
          <w:rFonts w:ascii="Arial" w:hAnsi="Arial" w:cs="Arial"/>
          <w:b/>
          <w:bCs/>
          <w:sz w:val="28"/>
          <w:szCs w:val="28"/>
        </w:rPr>
        <w:t xml:space="preserve"> :</w:t>
      </w:r>
    </w:p>
    <w:p w14:paraId="10B3601C" w14:textId="5F9F9929" w:rsidR="00F259DE" w:rsidRPr="00BD54BA" w:rsidRDefault="00F259DE" w:rsidP="00F259DE">
      <w:r w:rsidRPr="00F259DE">
        <w:t xml:space="preserve">The trend analysis of the </w:t>
      </w:r>
      <w:r w:rsidRPr="00F259DE">
        <w:rPr>
          <w:rStyle w:val="Strong"/>
          <w:b w:val="0"/>
          <w:bCs w:val="0"/>
        </w:rPr>
        <w:t>HPI</w:t>
      </w:r>
      <w:r w:rsidRPr="00F259DE">
        <w:t xml:space="preserve"> from </w:t>
      </w:r>
      <w:r w:rsidRPr="00F259DE">
        <w:rPr>
          <w:rStyle w:val="Strong"/>
          <w:b w:val="0"/>
          <w:bCs w:val="0"/>
        </w:rPr>
        <w:t>2015 to 2025</w:t>
      </w:r>
      <w:r w:rsidRPr="00F259DE">
        <w:t xml:space="preserve"> reveals significant changes in housing price </w:t>
      </w:r>
      <w:r>
        <w:t>dynamics</w:t>
      </w:r>
      <w:r w:rsidRPr="00F259DE">
        <w:t xml:space="preserve"> across European countries over time.</w:t>
      </w:r>
    </w:p>
    <w:p w14:paraId="795CBA9C" w14:textId="77777777" w:rsidR="00AA3919" w:rsidRDefault="00AA3919" w:rsidP="000C4234">
      <w:pPr>
        <w:rPr>
          <w:rFonts w:asciiTheme="majorHAnsi" w:hAnsiTheme="majorHAnsi"/>
          <w:b/>
          <w:bCs/>
        </w:rPr>
      </w:pPr>
    </w:p>
    <w:p w14:paraId="047AB26C" w14:textId="573DCFE0" w:rsidR="000C4234" w:rsidRPr="002D34DA" w:rsidRDefault="000C4234" w:rsidP="000C4234">
      <w:pPr>
        <w:rPr>
          <w:rFonts w:ascii="Georgia Pro Semibold" w:hAnsi="Georgia Pro Semibold"/>
          <w:b/>
          <w:bCs/>
        </w:rPr>
      </w:pPr>
      <w:r w:rsidRPr="00AA3919">
        <w:rPr>
          <w:rFonts w:asciiTheme="majorHAnsi" w:hAnsiTheme="majorHAnsi"/>
          <w:b/>
          <w:bCs/>
        </w:rPr>
        <w:t>Housing Price Trend</w:t>
      </w:r>
      <w:r w:rsidR="00EA043D" w:rsidRPr="00AA3919">
        <w:rPr>
          <w:rFonts w:ascii="Georgia Pro Semibold" w:hAnsi="Georgia Pro Semibold"/>
          <w:b/>
          <w:bCs/>
        </w:rPr>
        <w:t xml:space="preserve"> -</w:t>
      </w:r>
      <w:r w:rsidR="00EA043D">
        <w:rPr>
          <w:rFonts w:ascii="Georgia Pro Semibold" w:hAnsi="Georgia Pro Semibold"/>
          <w:b/>
          <w:bCs/>
        </w:rPr>
        <w:t xml:space="preserve"> </w:t>
      </w:r>
      <w:r w:rsidR="00ED112F" w:rsidRPr="002A1794">
        <w:t>Time Series Analysis</w:t>
      </w:r>
    </w:p>
    <w:p w14:paraId="0AB31EA3" w14:textId="20034368" w:rsidR="00330A62" w:rsidRDefault="00ED112F" w:rsidP="00ED112F">
      <w:pPr>
        <w:jc w:val="center"/>
      </w:pPr>
      <w:r>
        <w:t>Euro area and EU - Annual rate of change</w:t>
      </w:r>
      <w:r w:rsidRPr="002A1794">
        <w:t xml:space="preserve"> </w:t>
      </w:r>
      <w:r w:rsidR="00330A62" w:rsidRPr="00330A62">
        <w:rPr>
          <w:noProof/>
        </w:rPr>
        <w:drawing>
          <wp:inline distT="0" distB="0" distL="0" distR="0" wp14:anchorId="0C48605B" wp14:editId="0A462429">
            <wp:extent cx="5731510" cy="2729230"/>
            <wp:effectExtent l="0" t="0" r="2540" b="0"/>
            <wp:docPr id="170654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1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C9EF" w14:textId="03A2E4FA" w:rsidR="0089763E" w:rsidRDefault="0089763E" w:rsidP="00EA58FF">
      <w:pPr>
        <w:jc w:val="center"/>
        <w:rPr>
          <w:rFonts w:ascii="Calibri" w:hAnsi="Calibri" w:cs="Calibri"/>
        </w:rPr>
      </w:pPr>
      <w:r>
        <w:lastRenderedPageBreak/>
        <w:t xml:space="preserve">Euro area and EU  - </w:t>
      </w:r>
      <w:r>
        <w:t>Price Index</w:t>
      </w:r>
      <w:r w:rsidR="00EA58FF" w:rsidRPr="00EA58FF">
        <w:rPr>
          <w:rFonts w:ascii="Calibri" w:hAnsi="Calibri" w:cs="Calibri"/>
        </w:rPr>
        <w:drawing>
          <wp:inline distT="0" distB="0" distL="0" distR="0" wp14:anchorId="5E39A71E" wp14:editId="129BF216">
            <wp:extent cx="5731510" cy="2671445"/>
            <wp:effectExtent l="0" t="0" r="2540" b="0"/>
            <wp:docPr id="201794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8503" w14:textId="77777777" w:rsidR="0089763E" w:rsidRDefault="0089763E" w:rsidP="000C4234">
      <w:pPr>
        <w:rPr>
          <w:rFonts w:ascii="Calibri" w:hAnsi="Calibri" w:cs="Calibri"/>
        </w:rPr>
      </w:pPr>
    </w:p>
    <w:p w14:paraId="44C8987C" w14:textId="77777777" w:rsidR="0089763E" w:rsidRDefault="0089763E" w:rsidP="0089763E">
      <w:pPr>
        <w:rPr>
          <w:rFonts w:ascii="Calibri" w:hAnsi="Calibri" w:cs="Calibri"/>
          <w:b/>
          <w:bCs/>
        </w:rPr>
      </w:pPr>
      <w:r w:rsidRPr="00D728CF">
        <w:rPr>
          <w:rFonts w:ascii="Calibri" w:hAnsi="Calibri" w:cs="Calibri"/>
          <w:b/>
          <w:bCs/>
        </w:rPr>
        <w:t>Key Observations:</w:t>
      </w:r>
    </w:p>
    <w:p w14:paraId="5E8E9E0B" w14:textId="77777777" w:rsidR="0089763E" w:rsidRPr="00372D45" w:rsidRDefault="0089763E" w:rsidP="0089763E">
      <w:pPr>
        <w:rPr>
          <w:rFonts w:ascii="Calibri" w:hAnsi="Calibri" w:cs="Calibri"/>
        </w:rPr>
      </w:pPr>
      <w:r w:rsidRPr="00372D45">
        <w:rPr>
          <w:rFonts w:ascii="Calibri" w:hAnsi="Calibri" w:cs="Calibri"/>
        </w:rPr>
        <w:t>Both time series show a clear upward long-term housing price trend.</w:t>
      </w:r>
    </w:p>
    <w:p w14:paraId="2051F366" w14:textId="0F3BCAE7" w:rsidR="0089763E" w:rsidRPr="00EF5E81" w:rsidRDefault="0089763E" w:rsidP="0089763E">
      <w:pPr>
        <w:pStyle w:val="ListParagraph"/>
        <w:numPr>
          <w:ilvl w:val="0"/>
          <w:numId w:val="45"/>
        </w:numPr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  <w:b/>
          <w:bCs/>
        </w:rPr>
        <w:t>Phase 1</w:t>
      </w:r>
      <w:r w:rsidRPr="00EF5E81">
        <w:rPr>
          <w:rFonts w:ascii="Calibri" w:hAnsi="Calibri" w:cs="Calibri"/>
        </w:rPr>
        <w:t xml:space="preserve"> – Stable Growth (201</w:t>
      </w:r>
      <w:r w:rsidR="00C2613D">
        <w:rPr>
          <w:rFonts w:ascii="Calibri" w:hAnsi="Calibri" w:cs="Calibri"/>
        </w:rPr>
        <w:t>5</w:t>
      </w:r>
      <w:r w:rsidRPr="00EF5E81">
        <w:rPr>
          <w:rFonts w:ascii="Calibri" w:hAnsi="Calibri" w:cs="Calibri"/>
        </w:rPr>
        <w:t>–2019)</w:t>
      </w:r>
    </w:p>
    <w:p w14:paraId="02F35D03" w14:textId="77777777" w:rsidR="0089763E" w:rsidRPr="00EF5E81" w:rsidRDefault="0089763E" w:rsidP="0089763E">
      <w:pPr>
        <w:pStyle w:val="ListParagraph"/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</w:rPr>
        <w:t>Stable upward trend with low volatility</w:t>
      </w:r>
    </w:p>
    <w:p w14:paraId="4D43DE1B" w14:textId="77777777" w:rsidR="0089763E" w:rsidRPr="00D728CF" w:rsidRDefault="0089763E" w:rsidP="0089763E">
      <w:pPr>
        <w:spacing w:after="0"/>
        <w:rPr>
          <w:rFonts w:ascii="Calibri" w:hAnsi="Calibri" w:cs="Calibri"/>
        </w:rPr>
      </w:pPr>
    </w:p>
    <w:p w14:paraId="3FAC9D7C" w14:textId="493F4F08" w:rsidR="0089763E" w:rsidRPr="00EF5E81" w:rsidRDefault="0089763E" w:rsidP="0089763E">
      <w:pPr>
        <w:pStyle w:val="ListParagraph"/>
        <w:numPr>
          <w:ilvl w:val="0"/>
          <w:numId w:val="45"/>
        </w:numPr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  <w:b/>
          <w:bCs/>
        </w:rPr>
        <w:t>Phase 2</w:t>
      </w:r>
      <w:r w:rsidRPr="00EF5E81">
        <w:rPr>
          <w:rFonts w:ascii="Calibri" w:hAnsi="Calibri" w:cs="Calibri"/>
        </w:rPr>
        <w:t xml:space="preserve"> – Housing Boom (2020–2022)</w:t>
      </w:r>
    </w:p>
    <w:p w14:paraId="5C226933" w14:textId="77777777" w:rsidR="0089763E" w:rsidRDefault="0089763E" w:rsidP="0089763E">
      <w:pPr>
        <w:pStyle w:val="ListParagraph"/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</w:rPr>
        <w:t>This period represents the strongest housing boom in the</w:t>
      </w:r>
      <w:r>
        <w:rPr>
          <w:rFonts w:ascii="Calibri" w:hAnsi="Calibri" w:cs="Calibri"/>
        </w:rPr>
        <w:t xml:space="preserve"> t</w:t>
      </w:r>
      <w:r w:rsidRPr="00EF5E81">
        <w:rPr>
          <w:rFonts w:ascii="Calibri" w:hAnsi="Calibri" w:cs="Calibri"/>
        </w:rPr>
        <w:t>ime series.</w:t>
      </w:r>
    </w:p>
    <w:p w14:paraId="348A05C7" w14:textId="01A6777C" w:rsidR="000456BA" w:rsidRPr="00EF5E81" w:rsidRDefault="000456BA" w:rsidP="0089763E">
      <w:pPr>
        <w:pStyle w:val="ListParagraph"/>
        <w:spacing w:after="0"/>
        <w:rPr>
          <w:rFonts w:ascii="Calibri" w:hAnsi="Calibri" w:cs="Calibri"/>
        </w:rPr>
      </w:pPr>
      <w:r w:rsidRPr="000456BA">
        <w:rPr>
          <w:rFonts w:ascii="Calibri" w:hAnsi="Calibri" w:cs="Calibri"/>
        </w:rPr>
        <w:t>Housing prices accelerated significantly during this period</w:t>
      </w:r>
    </w:p>
    <w:p w14:paraId="2F2AAA7C" w14:textId="77777777" w:rsidR="0089763E" w:rsidRPr="00D728CF" w:rsidRDefault="0089763E" w:rsidP="0089763E">
      <w:pPr>
        <w:spacing w:after="0"/>
        <w:rPr>
          <w:rFonts w:ascii="Calibri" w:hAnsi="Calibri" w:cs="Calibri"/>
        </w:rPr>
      </w:pPr>
    </w:p>
    <w:p w14:paraId="12DB328A" w14:textId="77777777" w:rsidR="0089763E" w:rsidRPr="00EF5E81" w:rsidRDefault="0089763E" w:rsidP="0089763E">
      <w:pPr>
        <w:pStyle w:val="ListParagraph"/>
        <w:numPr>
          <w:ilvl w:val="0"/>
          <w:numId w:val="45"/>
        </w:numPr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  <w:b/>
          <w:bCs/>
        </w:rPr>
        <w:t>Phase 3</w:t>
      </w:r>
      <w:r w:rsidRPr="00EF5E81">
        <w:rPr>
          <w:rFonts w:ascii="Calibri" w:hAnsi="Calibri" w:cs="Calibri"/>
        </w:rPr>
        <w:t xml:space="preserve"> – Market Correction (2023)</w:t>
      </w:r>
    </w:p>
    <w:p w14:paraId="7E2E834A" w14:textId="77777777" w:rsidR="0089763E" w:rsidRDefault="0089763E" w:rsidP="0089763E">
      <w:pPr>
        <w:pStyle w:val="ListParagraph"/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</w:rPr>
        <w:t>This represents a cyclical downturn in the time series.</w:t>
      </w:r>
    </w:p>
    <w:p w14:paraId="206361DA" w14:textId="138444BF" w:rsidR="000456BA" w:rsidRPr="00EF5E81" w:rsidRDefault="000456BA" w:rsidP="0089763E">
      <w:pPr>
        <w:pStyle w:val="ListParagraph"/>
        <w:spacing w:after="0"/>
        <w:rPr>
          <w:rFonts w:ascii="Calibri" w:hAnsi="Calibri" w:cs="Calibri"/>
        </w:rPr>
      </w:pPr>
      <w:r w:rsidRPr="000456BA">
        <w:rPr>
          <w:rFonts w:ascii="Calibri" w:hAnsi="Calibri" w:cs="Calibri"/>
        </w:rPr>
        <w:t>Price growth slowed significantly.</w:t>
      </w:r>
    </w:p>
    <w:p w14:paraId="596F9FB3" w14:textId="77777777" w:rsidR="0089763E" w:rsidRPr="00D728CF" w:rsidRDefault="0089763E" w:rsidP="0089763E">
      <w:pPr>
        <w:spacing w:after="0"/>
        <w:rPr>
          <w:rFonts w:ascii="Calibri" w:hAnsi="Calibri" w:cs="Calibri"/>
        </w:rPr>
      </w:pPr>
    </w:p>
    <w:p w14:paraId="2A4E6C92" w14:textId="77777777" w:rsidR="0089763E" w:rsidRPr="00EF5E81" w:rsidRDefault="0089763E" w:rsidP="0089763E">
      <w:pPr>
        <w:pStyle w:val="ListParagraph"/>
        <w:numPr>
          <w:ilvl w:val="0"/>
          <w:numId w:val="45"/>
        </w:numPr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  <w:b/>
          <w:bCs/>
        </w:rPr>
        <w:t>Phase 4</w:t>
      </w:r>
      <w:r w:rsidRPr="00EF5E81">
        <w:rPr>
          <w:rFonts w:ascii="Calibri" w:hAnsi="Calibri" w:cs="Calibri"/>
        </w:rPr>
        <w:t xml:space="preserve"> – Recovery Phase (2024–2025)</w:t>
      </w:r>
    </w:p>
    <w:p w14:paraId="1DA7EF03" w14:textId="77777777" w:rsidR="0089763E" w:rsidRDefault="0089763E" w:rsidP="0089763E">
      <w:pPr>
        <w:pStyle w:val="ListParagraph"/>
        <w:spacing w:after="0"/>
        <w:rPr>
          <w:rFonts w:ascii="Calibri" w:hAnsi="Calibri" w:cs="Calibri"/>
        </w:rPr>
      </w:pPr>
      <w:r w:rsidRPr="00EF5E81">
        <w:rPr>
          <w:rFonts w:ascii="Calibri" w:hAnsi="Calibri" w:cs="Calibri"/>
        </w:rPr>
        <w:t>Growth returned gradually.</w:t>
      </w:r>
      <w:r>
        <w:rPr>
          <w:rFonts w:ascii="Calibri" w:hAnsi="Calibri" w:cs="Calibri"/>
        </w:rPr>
        <w:t xml:space="preserve"> </w:t>
      </w:r>
    </w:p>
    <w:p w14:paraId="4E8914FD" w14:textId="77777777" w:rsidR="0089763E" w:rsidRPr="00842160" w:rsidRDefault="0089763E" w:rsidP="0089763E">
      <w:pPr>
        <w:spacing w:after="0"/>
        <w:rPr>
          <w:rFonts w:ascii="Calibri" w:hAnsi="Calibri" w:cs="Calibri"/>
        </w:rPr>
      </w:pPr>
    </w:p>
    <w:p w14:paraId="27E9B685" w14:textId="7E361E20" w:rsidR="000947CD" w:rsidRDefault="000947CD" w:rsidP="000947CD">
      <w:pPr>
        <w:pStyle w:val="ListParagraph"/>
        <w:numPr>
          <w:ilvl w:val="0"/>
          <w:numId w:val="47"/>
        </w:numPr>
        <w:spacing w:after="0"/>
      </w:pPr>
      <w:r w:rsidRPr="000947CD">
        <w:t>H</w:t>
      </w:r>
      <w:r w:rsidRPr="000947CD">
        <w:t>ousing prices in both regions move almost simultaneously</w:t>
      </w:r>
      <w:r w:rsidRPr="000947CD">
        <w:t>.</w:t>
      </w:r>
    </w:p>
    <w:p w14:paraId="0E8184D7" w14:textId="77777777" w:rsidR="000947CD" w:rsidRPr="000947CD" w:rsidRDefault="000947CD" w:rsidP="000947CD">
      <w:pPr>
        <w:pStyle w:val="ListParagraph"/>
        <w:numPr>
          <w:ilvl w:val="0"/>
          <w:numId w:val="47"/>
        </w:numPr>
        <w:spacing w:after="0"/>
      </w:pPr>
      <w:r w:rsidRPr="000947CD">
        <w:t>Housing markets stabilized and returned to moderate growth.</w:t>
      </w:r>
    </w:p>
    <w:p w14:paraId="03093E9D" w14:textId="77777777" w:rsidR="000947CD" w:rsidRPr="00233230" w:rsidRDefault="000947CD" w:rsidP="000947CD">
      <w:pPr>
        <w:pStyle w:val="ListParagraph"/>
        <w:numPr>
          <w:ilvl w:val="0"/>
          <w:numId w:val="47"/>
        </w:numPr>
        <w:spacing w:after="0"/>
      </w:pPr>
      <w:r w:rsidRPr="00233230">
        <w:t>The latest data suggests the EU housing market is returning to sustainable growth levels.</w:t>
      </w:r>
    </w:p>
    <w:p w14:paraId="008B8210" w14:textId="77777777" w:rsidR="000947CD" w:rsidRDefault="000947CD" w:rsidP="000947CD">
      <w:pPr>
        <w:spacing w:after="0"/>
        <w:rPr>
          <w:rFonts w:ascii="Calibri" w:hAnsi="Calibri" w:cs="Calibri"/>
        </w:rPr>
      </w:pPr>
    </w:p>
    <w:p w14:paraId="55CD6C82" w14:textId="77777777" w:rsidR="0089763E" w:rsidRPr="00372D45" w:rsidRDefault="0089763E" w:rsidP="000C4234">
      <w:pPr>
        <w:rPr>
          <w:rFonts w:ascii="Calibri" w:hAnsi="Calibri" w:cs="Calibri"/>
        </w:rPr>
      </w:pPr>
    </w:p>
    <w:p w14:paraId="6D3AADAB" w14:textId="1FB04D49" w:rsidR="000C4234" w:rsidRPr="000C4234" w:rsidRDefault="001A713E" w:rsidP="000C4234">
      <w:r>
        <w:pict w14:anchorId="66066DD4">
          <v:rect id="_x0000_i1093" style="width:0;height:1.5pt" o:hralign="center" o:hrstd="t" o:hr="t" fillcolor="#a0a0a0" stroked="f"/>
        </w:pict>
      </w:r>
    </w:p>
    <w:p w14:paraId="25C99AE8" w14:textId="0FAFCADE" w:rsidR="00D728CF" w:rsidRDefault="00D728CF" w:rsidP="00DF1A25">
      <w:pPr>
        <w:rPr>
          <w:rFonts w:ascii="Georgia Pro Semibold" w:hAnsi="Georgia Pro Semibold"/>
          <w:b/>
          <w:bCs/>
        </w:rPr>
      </w:pPr>
    </w:p>
    <w:p w14:paraId="7F81E383" w14:textId="21B9EC1C" w:rsidR="00DF1A25" w:rsidRDefault="00C2613D" w:rsidP="00DF1A2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4</w:t>
      </w:r>
      <w:r w:rsidR="00DF1A25" w:rsidRPr="00D728CF">
        <w:rPr>
          <w:rFonts w:ascii="Arial" w:hAnsi="Arial" w:cs="Arial"/>
          <w:b/>
          <w:bCs/>
          <w:sz w:val="28"/>
          <w:szCs w:val="28"/>
        </w:rPr>
        <w:t xml:space="preserve">. </w:t>
      </w:r>
      <w:r w:rsidR="00DF1A25" w:rsidRPr="00D728CF">
        <w:rPr>
          <w:rFonts w:ascii="Arial" w:hAnsi="Arial" w:cs="Arial"/>
          <w:b/>
          <w:bCs/>
          <w:sz w:val="28"/>
          <w:szCs w:val="28"/>
        </w:rPr>
        <w:t>Latest Market Trends (2025)</w:t>
      </w:r>
    </w:p>
    <w:p w14:paraId="03AFEB5B" w14:textId="77777777" w:rsidR="00D728CF" w:rsidRPr="00D728CF" w:rsidRDefault="00D728CF" w:rsidP="00D728CF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5020ADB" w14:textId="77777777" w:rsidR="00DF1A25" w:rsidRDefault="00DF1A25" w:rsidP="00DF1A25">
      <w:pPr>
        <w:pStyle w:val="ListParagraph"/>
        <w:numPr>
          <w:ilvl w:val="0"/>
          <w:numId w:val="38"/>
        </w:numPr>
        <w:spacing w:after="0" w:line="360" w:lineRule="auto"/>
      </w:pPr>
      <w:r w:rsidRPr="009D33B1">
        <w:t>Fastest Growing Housing Markets</w:t>
      </w:r>
    </w:p>
    <w:p w14:paraId="79807F93" w14:textId="01C689D4" w:rsidR="007F71E8" w:rsidRDefault="007F71E8" w:rsidP="007F71E8">
      <w:pPr>
        <w:pStyle w:val="ListParagraph"/>
        <w:spacing w:after="0" w:line="360" w:lineRule="auto"/>
        <w:jc w:val="center"/>
      </w:pPr>
      <w:r w:rsidRPr="007F71E8">
        <w:drawing>
          <wp:inline distT="0" distB="0" distL="0" distR="0" wp14:anchorId="38A24177" wp14:editId="43B63598">
            <wp:extent cx="3429297" cy="2560542"/>
            <wp:effectExtent l="0" t="0" r="0" b="0"/>
            <wp:docPr id="17216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61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4D8D" w14:textId="1E38A5BC" w:rsidR="00DF1A25" w:rsidRPr="009D33B1" w:rsidRDefault="002915F9" w:rsidP="002915F9">
      <w:pPr>
        <w:spacing w:after="0" w:line="360" w:lineRule="auto"/>
      </w:pPr>
      <w:r>
        <w:t xml:space="preserve">   </w:t>
      </w:r>
      <w:r w:rsidRPr="002915F9">
        <w:t>Seven countries recorded increases of more than 10%</w:t>
      </w:r>
      <w:r>
        <w:t xml:space="preserve"> </w:t>
      </w:r>
      <w:r w:rsidRPr="002915F9">
        <w:t>recording the strongest growth.</w:t>
      </w:r>
      <w:r>
        <w:t xml:space="preserve">   </w:t>
      </w:r>
    </w:p>
    <w:p w14:paraId="5816D377" w14:textId="1EAA3EC1" w:rsidR="00DF1A25" w:rsidRPr="009D33B1" w:rsidRDefault="002915F9" w:rsidP="002915F9">
      <w:r>
        <w:t xml:space="preserve">   </w:t>
      </w:r>
      <w:r w:rsidR="00DF1A25" w:rsidRPr="009D33B1">
        <w:t>These countries show strong housing demand and price momentum.</w:t>
      </w:r>
    </w:p>
    <w:p w14:paraId="467212C6" w14:textId="77777777" w:rsidR="00824B77" w:rsidRDefault="00824B77" w:rsidP="00DF1A25">
      <w:pPr>
        <w:pStyle w:val="ListParagraph"/>
      </w:pPr>
    </w:p>
    <w:p w14:paraId="0DFBCA11" w14:textId="6285480F" w:rsidR="00DF1A25" w:rsidRDefault="00DF1A25" w:rsidP="00DF1A25">
      <w:pPr>
        <w:pStyle w:val="ListParagraph"/>
        <w:numPr>
          <w:ilvl w:val="0"/>
          <w:numId w:val="38"/>
        </w:numPr>
      </w:pPr>
      <w:r w:rsidRPr="009D33B1">
        <w:t>Weak or Declining Markets</w:t>
      </w:r>
    </w:p>
    <w:p w14:paraId="3D9AF26E" w14:textId="77777777" w:rsidR="00222597" w:rsidRDefault="00222597" w:rsidP="00222597">
      <w:pPr>
        <w:pStyle w:val="ListParagraph"/>
      </w:pPr>
    </w:p>
    <w:p w14:paraId="1911BFBF" w14:textId="3B5D53E6" w:rsidR="00222597" w:rsidRDefault="00222597" w:rsidP="00222597">
      <w:pPr>
        <w:pStyle w:val="ListParagraph"/>
        <w:jc w:val="center"/>
      </w:pPr>
      <w:r w:rsidRPr="00222597">
        <w:drawing>
          <wp:inline distT="0" distB="0" distL="0" distR="0" wp14:anchorId="06687879" wp14:editId="70E26C3B">
            <wp:extent cx="3139712" cy="2133785"/>
            <wp:effectExtent l="0" t="0" r="3810" b="0"/>
            <wp:docPr id="181817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5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64EA" w14:textId="37FF3AAB" w:rsidR="00DF1A25" w:rsidRDefault="00222597" w:rsidP="00222597">
      <w:r>
        <w:t xml:space="preserve">     </w:t>
      </w:r>
      <w:r w:rsidR="00DF1A25" w:rsidRPr="009D33B1">
        <w:t xml:space="preserve">These markets indicate </w:t>
      </w:r>
      <w:r w:rsidR="00DF1A25" w:rsidRPr="001A713E">
        <w:t>slow growt</w:t>
      </w:r>
      <w:r w:rsidR="007A68D5">
        <w:t>h</w:t>
      </w:r>
      <w:r w:rsidR="00DF1A25" w:rsidRPr="001A713E">
        <w:t>.</w:t>
      </w:r>
    </w:p>
    <w:p w14:paraId="08C59680" w14:textId="168300FE" w:rsidR="007A68D5" w:rsidRPr="001A713E" w:rsidRDefault="00222597" w:rsidP="00222597">
      <w:r>
        <w:t xml:space="preserve">     </w:t>
      </w:r>
      <w:r w:rsidR="007A68D5" w:rsidRPr="007A68D5">
        <w:t xml:space="preserve">Finland </w:t>
      </w:r>
      <w:r w:rsidR="00782D61" w:rsidRPr="00782D61">
        <w:t xml:space="preserve">was the only country to record a </w:t>
      </w:r>
      <w:r w:rsidR="007A68D5" w:rsidRPr="007A68D5">
        <w:t>significant price decline in 2025</w:t>
      </w:r>
      <w:r w:rsidR="007A68D5">
        <w:t>.</w:t>
      </w:r>
    </w:p>
    <w:p w14:paraId="1F9FE027" w14:textId="77777777" w:rsidR="00DF1A25" w:rsidRDefault="00DF1A25" w:rsidP="000C4234">
      <w:pPr>
        <w:rPr>
          <w:b/>
          <w:bCs/>
        </w:rPr>
      </w:pPr>
    </w:p>
    <w:p w14:paraId="767C638D" w14:textId="071367BB" w:rsidR="001A713E" w:rsidRDefault="001A713E" w:rsidP="000C4234">
      <w:pPr>
        <w:rPr>
          <w:b/>
          <w:bCs/>
        </w:rPr>
      </w:pPr>
    </w:p>
    <w:p w14:paraId="3E3BA12D" w14:textId="3FFD924C" w:rsidR="001A713E" w:rsidRDefault="00824B77" w:rsidP="000C4234">
      <w:pPr>
        <w:rPr>
          <w:b/>
          <w:bCs/>
        </w:rPr>
      </w:pPr>
      <w:r>
        <w:pict w14:anchorId="0E7F2D67">
          <v:rect id="_x0000_i1096" style="width:0;height:1.5pt" o:hralign="center" o:hrstd="t" o:hr="t" fillcolor="#a0a0a0" stroked="f"/>
        </w:pict>
      </w:r>
    </w:p>
    <w:p w14:paraId="57ECEC96" w14:textId="77777777" w:rsidR="001A713E" w:rsidRDefault="001A713E" w:rsidP="000C4234">
      <w:pPr>
        <w:rPr>
          <w:b/>
          <w:bCs/>
        </w:rPr>
      </w:pPr>
    </w:p>
    <w:p w14:paraId="7F255BF3" w14:textId="76579863" w:rsidR="000C4234" w:rsidRPr="00AA3919" w:rsidRDefault="000C4234" w:rsidP="000C4234">
      <w:pPr>
        <w:rPr>
          <w:rFonts w:asciiTheme="majorHAnsi" w:hAnsiTheme="majorHAnsi"/>
          <w:b/>
          <w:bCs/>
        </w:rPr>
      </w:pPr>
      <w:r w:rsidRPr="00AA3919">
        <w:rPr>
          <w:rFonts w:asciiTheme="majorHAnsi" w:hAnsiTheme="majorHAnsi"/>
          <w:b/>
          <w:bCs/>
        </w:rPr>
        <w:lastRenderedPageBreak/>
        <w:t>Top 5 Countries by Latest Housing Price Index (2025 Q3)</w:t>
      </w:r>
    </w:p>
    <w:p w14:paraId="57456998" w14:textId="74B2AE0B" w:rsidR="000C4234" w:rsidRPr="000C4234" w:rsidRDefault="000C4234" w:rsidP="000C4234">
      <w:r w:rsidRPr="000C4234">
        <w:t>Based on the most recent available data:</w:t>
      </w:r>
    </w:p>
    <w:tbl>
      <w:tblPr>
        <w:tblW w:w="0" w:type="auto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649"/>
        <w:gridCol w:w="1033"/>
        <w:gridCol w:w="1269"/>
        <w:gridCol w:w="91"/>
      </w:tblGrid>
      <w:tr w:rsidR="009B5B2F" w:rsidRPr="000C4234" w14:paraId="206DF76C" w14:textId="77777777" w:rsidTr="00B2757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0D0DA" w14:textId="77777777" w:rsidR="009B5B2F" w:rsidRPr="000C4234" w:rsidRDefault="009B5B2F" w:rsidP="000C4234">
            <w:pPr>
              <w:rPr>
                <w:b/>
                <w:bCs/>
              </w:rPr>
            </w:pPr>
            <w:r w:rsidRPr="000C4234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88EC7F" w14:textId="77777777" w:rsidR="009B5B2F" w:rsidRPr="000C4234" w:rsidRDefault="009B5B2F" w:rsidP="000C4234">
            <w:pPr>
              <w:rPr>
                <w:b/>
                <w:bCs/>
              </w:rPr>
            </w:pPr>
            <w:r w:rsidRPr="000C4234">
              <w:rPr>
                <w:b/>
                <w:bCs/>
              </w:rPr>
              <w:t>Country</w:t>
            </w:r>
          </w:p>
        </w:tc>
        <w:tc>
          <w:tcPr>
            <w:tcW w:w="1239" w:type="dxa"/>
            <w:shd w:val="clear" w:color="auto" w:fill="D9D9D9" w:themeFill="background1" w:themeFillShade="D9"/>
            <w:vAlign w:val="center"/>
            <w:hideMark/>
          </w:tcPr>
          <w:p w14:paraId="68E5B1E8" w14:textId="77777777" w:rsidR="009B5B2F" w:rsidRPr="000C4234" w:rsidRDefault="009B5B2F" w:rsidP="000C4234">
            <w:pPr>
              <w:rPr>
                <w:b/>
                <w:bCs/>
              </w:rPr>
            </w:pPr>
            <w:r w:rsidRPr="000C4234">
              <w:rPr>
                <w:b/>
                <w:bCs/>
              </w:rPr>
              <w:t>Price Index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C6F2F15" w14:textId="6AA82855" w:rsidR="009B5B2F" w:rsidRPr="000C4234" w:rsidRDefault="009B5B2F" w:rsidP="000C4234">
            <w:pPr>
              <w:rPr>
                <w:b/>
                <w:bCs/>
              </w:rPr>
            </w:pPr>
          </w:p>
        </w:tc>
      </w:tr>
      <w:tr w:rsidR="009B5B2F" w:rsidRPr="000C4234" w14:paraId="6DA95E34" w14:textId="77777777" w:rsidTr="00B275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B9A5F4" w14:textId="77777777" w:rsidR="009B5B2F" w:rsidRPr="000C4234" w:rsidRDefault="009B5B2F" w:rsidP="000C4234">
            <w:r w:rsidRPr="000C4234"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205291" w14:textId="77777777" w:rsidR="009B5B2F" w:rsidRPr="000C4234" w:rsidRDefault="009B5B2F" w:rsidP="000C4234">
            <w:r w:rsidRPr="000C4234">
              <w:t>Hungary</w:t>
            </w:r>
          </w:p>
        </w:tc>
        <w:tc>
          <w:tcPr>
            <w:tcW w:w="1239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  <w:hideMark/>
          </w:tcPr>
          <w:p w14:paraId="290C3EBF" w14:textId="77777777" w:rsidR="009B5B2F" w:rsidRPr="000C4234" w:rsidRDefault="009B5B2F" w:rsidP="000C4234">
            <w:r w:rsidRPr="000C4234">
              <w:t>375.19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262ED4E0" w14:textId="237B80AB" w:rsidR="009B5B2F" w:rsidRPr="000C4234" w:rsidRDefault="009B5B2F" w:rsidP="000C4234"/>
        </w:tc>
      </w:tr>
      <w:tr w:rsidR="009B5B2F" w:rsidRPr="000C4234" w14:paraId="0A8908ED" w14:textId="77777777" w:rsidTr="00B275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8FE003" w14:textId="77777777" w:rsidR="009B5B2F" w:rsidRPr="000C4234" w:rsidRDefault="009B5B2F" w:rsidP="000C4234">
            <w:r w:rsidRPr="000C4234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9194F4" w14:textId="77777777" w:rsidR="009B5B2F" w:rsidRPr="000C4234" w:rsidRDefault="009B5B2F" w:rsidP="000C4234">
            <w:r w:rsidRPr="000C4234">
              <w:t>Portugal</w:t>
            </w:r>
          </w:p>
        </w:tc>
        <w:tc>
          <w:tcPr>
            <w:tcW w:w="1239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  <w:hideMark/>
          </w:tcPr>
          <w:p w14:paraId="2B0C2185" w14:textId="77777777" w:rsidR="009B5B2F" w:rsidRPr="000C4234" w:rsidRDefault="009B5B2F" w:rsidP="000C4234">
            <w:r w:rsidRPr="000C4234">
              <w:t>269.35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2FE54B5D" w14:textId="5543683D" w:rsidR="009B5B2F" w:rsidRPr="000C4234" w:rsidRDefault="009B5B2F" w:rsidP="000C4234"/>
        </w:tc>
      </w:tr>
      <w:tr w:rsidR="009B5B2F" w:rsidRPr="000C4234" w14:paraId="71A9E07C" w14:textId="77777777" w:rsidTr="00B275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283348" w14:textId="77777777" w:rsidR="009B5B2F" w:rsidRPr="000C4234" w:rsidRDefault="009B5B2F" w:rsidP="000C4234">
            <w:r w:rsidRPr="000C4234"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441A11" w14:textId="77777777" w:rsidR="009B5B2F" w:rsidRPr="000C4234" w:rsidRDefault="009B5B2F" w:rsidP="000C4234">
            <w:r w:rsidRPr="000C4234">
              <w:t>Iceland</w:t>
            </w:r>
          </w:p>
        </w:tc>
        <w:tc>
          <w:tcPr>
            <w:tcW w:w="1239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  <w:hideMark/>
          </w:tcPr>
          <w:p w14:paraId="42A8A789" w14:textId="77777777" w:rsidR="009B5B2F" w:rsidRPr="000C4234" w:rsidRDefault="009B5B2F" w:rsidP="000C4234">
            <w:r w:rsidRPr="000C4234">
              <w:t>265.13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5EE77CC1" w14:textId="06164149" w:rsidR="009B5B2F" w:rsidRPr="000C4234" w:rsidRDefault="009B5B2F" w:rsidP="000C4234"/>
        </w:tc>
      </w:tr>
      <w:tr w:rsidR="009B5B2F" w:rsidRPr="000C4234" w14:paraId="66093AD1" w14:textId="77777777" w:rsidTr="00B275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15F63A" w14:textId="77777777" w:rsidR="009B5B2F" w:rsidRPr="000C4234" w:rsidRDefault="009B5B2F" w:rsidP="000C4234">
            <w:r w:rsidRPr="000C4234"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93C83D" w14:textId="77777777" w:rsidR="009B5B2F" w:rsidRPr="000C4234" w:rsidRDefault="009B5B2F" w:rsidP="000C4234">
            <w:r w:rsidRPr="000C4234">
              <w:t>Lithuania</w:t>
            </w:r>
          </w:p>
        </w:tc>
        <w:tc>
          <w:tcPr>
            <w:tcW w:w="1239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  <w:hideMark/>
          </w:tcPr>
          <w:p w14:paraId="3675BCB4" w14:textId="77777777" w:rsidR="009B5B2F" w:rsidRPr="000C4234" w:rsidRDefault="009B5B2F" w:rsidP="000C4234">
            <w:r w:rsidRPr="000C4234">
              <w:t>262.01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531EF77C" w14:textId="27F8B941" w:rsidR="009B5B2F" w:rsidRPr="000C4234" w:rsidRDefault="009B5B2F" w:rsidP="000C4234"/>
        </w:tc>
      </w:tr>
      <w:tr w:rsidR="009B5B2F" w:rsidRPr="000C4234" w14:paraId="64013252" w14:textId="77777777" w:rsidTr="00B2757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225DEA" w14:textId="77777777" w:rsidR="009B5B2F" w:rsidRPr="000C4234" w:rsidRDefault="009B5B2F" w:rsidP="000C4234">
            <w:r w:rsidRPr="000C4234"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798265" w14:textId="77777777" w:rsidR="009B5B2F" w:rsidRPr="000C4234" w:rsidRDefault="009B5B2F" w:rsidP="000C4234">
            <w:r w:rsidRPr="000C4234">
              <w:t>Bulgaria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8C32DD" w14:textId="77777777" w:rsidR="009B5B2F" w:rsidRPr="000C4234" w:rsidRDefault="009B5B2F" w:rsidP="000C4234">
            <w:r w:rsidRPr="000C4234">
              <w:t>256.01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2B8104" w14:textId="5134AE04" w:rsidR="009B5B2F" w:rsidRPr="000C4234" w:rsidRDefault="009B5B2F" w:rsidP="000C4234"/>
        </w:tc>
      </w:tr>
    </w:tbl>
    <w:p w14:paraId="79ACB68F" w14:textId="77777777" w:rsidR="009B5B2F" w:rsidRDefault="009B5B2F" w:rsidP="000C4234">
      <w:pPr>
        <w:rPr>
          <w:b/>
          <w:bCs/>
        </w:rPr>
      </w:pPr>
    </w:p>
    <w:p w14:paraId="1CF452A7" w14:textId="5A513D62" w:rsidR="000C4234" w:rsidRPr="000C4234" w:rsidRDefault="000C4234" w:rsidP="000C4234">
      <w:pPr>
        <w:rPr>
          <w:b/>
          <w:bCs/>
        </w:rPr>
      </w:pPr>
      <w:r w:rsidRPr="000C4234">
        <w:rPr>
          <w:b/>
          <w:bCs/>
        </w:rPr>
        <w:t>Insights:</w:t>
      </w:r>
    </w:p>
    <w:p w14:paraId="6413827E" w14:textId="77777777" w:rsidR="000C4234" w:rsidRPr="000C4234" w:rsidRDefault="000C4234" w:rsidP="000C4234">
      <w:pPr>
        <w:numPr>
          <w:ilvl w:val="0"/>
          <w:numId w:val="6"/>
        </w:numPr>
      </w:pPr>
      <w:r w:rsidRPr="009B5B2F">
        <w:t>Hungary stands out significantly,</w:t>
      </w:r>
      <w:r w:rsidRPr="000C4234">
        <w:t xml:space="preserve"> with a much higher index value than other countries.</w:t>
      </w:r>
    </w:p>
    <w:p w14:paraId="5B8213F5" w14:textId="77777777" w:rsidR="000C4234" w:rsidRPr="000C4234" w:rsidRDefault="000C4234" w:rsidP="000C4234">
      <w:pPr>
        <w:numPr>
          <w:ilvl w:val="0"/>
          <w:numId w:val="6"/>
        </w:numPr>
      </w:pPr>
      <w:r w:rsidRPr="000C4234">
        <w:t>Several Central and Eastern European countries dominate the top rankings.</w:t>
      </w:r>
    </w:p>
    <w:p w14:paraId="28448555" w14:textId="77777777" w:rsidR="000C4234" w:rsidRPr="000C4234" w:rsidRDefault="000C4234" w:rsidP="000C4234">
      <w:pPr>
        <w:numPr>
          <w:ilvl w:val="0"/>
          <w:numId w:val="6"/>
        </w:numPr>
      </w:pPr>
      <w:r w:rsidRPr="000C4234">
        <w:t>This suggests stronger relative housing price growth compared to Western European countries.</w:t>
      </w:r>
    </w:p>
    <w:p w14:paraId="67BBD3DC" w14:textId="77777777" w:rsidR="000C4234" w:rsidRPr="000C4234" w:rsidRDefault="00000000" w:rsidP="000C4234">
      <w:r>
        <w:pict w14:anchorId="7AD6A92E">
          <v:rect id="_x0000_i1029" style="width:0;height:1.5pt" o:hralign="center" o:hrstd="t" o:hr="t" fillcolor="#a0a0a0" stroked="f"/>
        </w:pict>
      </w:r>
    </w:p>
    <w:p w14:paraId="7E67FC47" w14:textId="77777777" w:rsidR="00B27576" w:rsidRDefault="00B27576" w:rsidP="000C4234">
      <w:pPr>
        <w:rPr>
          <w:rFonts w:ascii="Arial" w:hAnsi="Arial" w:cs="Arial"/>
          <w:b/>
          <w:bCs/>
          <w:sz w:val="28"/>
          <w:szCs w:val="28"/>
        </w:rPr>
      </w:pPr>
    </w:p>
    <w:p w14:paraId="2BBB91CA" w14:textId="3D86FB6B" w:rsidR="000C4234" w:rsidRPr="001A713E" w:rsidRDefault="001A713E" w:rsidP="000C423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="000C4234" w:rsidRPr="001A713E">
        <w:rPr>
          <w:rFonts w:ascii="Arial" w:hAnsi="Arial" w:cs="Arial"/>
          <w:b/>
          <w:bCs/>
          <w:sz w:val="28"/>
          <w:szCs w:val="28"/>
        </w:rPr>
        <w:t>. Case Study: Hungary Housing Market</w:t>
      </w:r>
    </w:p>
    <w:p w14:paraId="55D4B751" w14:textId="77777777" w:rsidR="000C4234" w:rsidRDefault="000C4234" w:rsidP="000C4234">
      <w:r w:rsidRPr="000C4234">
        <w:t>Hungary demonstrates one of the strongest housing price increases in the dataset.</w:t>
      </w:r>
    </w:p>
    <w:p w14:paraId="23A98B60" w14:textId="12E0A9EC" w:rsidR="00B16C81" w:rsidRPr="00B16C81" w:rsidRDefault="00B16C81" w:rsidP="00B16C81">
      <w:r>
        <w:t>The Country</w:t>
      </w:r>
      <w:r w:rsidRPr="00B16C81">
        <w:t xml:space="preserve"> recorded some of the highest annual housing price increases in the</w:t>
      </w:r>
      <w:r>
        <w:t xml:space="preserve">     </w:t>
      </w:r>
      <w:r w:rsidRPr="00B16C81">
        <w:t xml:space="preserve"> European Union in 2025.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3069"/>
      </w:tblGrid>
      <w:tr w:rsidR="00B16C81" w:rsidRPr="00B16C81" w14:paraId="33FAC4BF" w14:textId="77777777" w:rsidTr="00B16C81">
        <w:trPr>
          <w:trHeight w:val="378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A54BA37" w14:textId="77777777" w:rsidR="00B16C81" w:rsidRPr="00B16C81" w:rsidRDefault="00B16C81" w:rsidP="00B16C81">
            <w:pPr>
              <w:rPr>
                <w:b/>
                <w:bCs/>
              </w:rPr>
            </w:pPr>
            <w:r w:rsidRPr="00B16C81">
              <w:rPr>
                <w:b/>
                <w:bCs/>
              </w:rPr>
              <w:t>Quarter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78AFBD" w14:textId="20B4C048" w:rsidR="00B16C81" w:rsidRPr="00B16C81" w:rsidRDefault="00B16C81" w:rsidP="00B16C8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Pr="00B16C81">
              <w:rPr>
                <w:b/>
                <w:bCs/>
              </w:rPr>
              <w:t>Annual Price Change</w:t>
            </w:r>
          </w:p>
        </w:tc>
      </w:tr>
      <w:tr w:rsidR="00B16C81" w:rsidRPr="00B16C81" w14:paraId="7D0CE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9A1F" w14:textId="77777777" w:rsidR="00B16C81" w:rsidRPr="00B16C81" w:rsidRDefault="00B16C81" w:rsidP="00B16C81">
            <w:pPr>
              <w:spacing w:before="240"/>
            </w:pPr>
            <w:r w:rsidRPr="00B16C81">
              <w:t>Q1 2025</w:t>
            </w:r>
          </w:p>
        </w:tc>
        <w:tc>
          <w:tcPr>
            <w:tcW w:w="0" w:type="auto"/>
            <w:vAlign w:val="center"/>
            <w:hideMark/>
          </w:tcPr>
          <w:p w14:paraId="4CD75CB8" w14:textId="4B165D97" w:rsidR="00B16C81" w:rsidRPr="00B16C81" w:rsidRDefault="00B16C81" w:rsidP="00B16C81">
            <w:pPr>
              <w:spacing w:before="240"/>
            </w:pPr>
            <w:r>
              <w:t xml:space="preserve">               </w:t>
            </w:r>
            <w:r w:rsidRPr="00B16C81">
              <w:t>17%</w:t>
            </w:r>
          </w:p>
        </w:tc>
      </w:tr>
      <w:tr w:rsidR="00B16C81" w:rsidRPr="00B16C81" w14:paraId="20172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0A06" w14:textId="77777777" w:rsidR="00B16C81" w:rsidRPr="00B16C81" w:rsidRDefault="00B16C81" w:rsidP="00B16C81">
            <w:r w:rsidRPr="00B16C81">
              <w:t>Q2 2025</w:t>
            </w:r>
          </w:p>
        </w:tc>
        <w:tc>
          <w:tcPr>
            <w:tcW w:w="0" w:type="auto"/>
            <w:vAlign w:val="center"/>
            <w:hideMark/>
          </w:tcPr>
          <w:p w14:paraId="16178A09" w14:textId="22C66DAF" w:rsidR="00B16C81" w:rsidRPr="00B16C81" w:rsidRDefault="00B16C81" w:rsidP="00B16C81">
            <w:r>
              <w:t xml:space="preserve">              </w:t>
            </w:r>
            <w:r w:rsidRPr="00B16C81">
              <w:t>18.7%</w:t>
            </w:r>
          </w:p>
        </w:tc>
      </w:tr>
      <w:tr w:rsidR="00B16C81" w:rsidRPr="00B16C81" w14:paraId="23C8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F549" w14:textId="77777777" w:rsidR="00B16C81" w:rsidRPr="00B16C81" w:rsidRDefault="00B16C81" w:rsidP="00B16C81">
            <w:r w:rsidRPr="00B16C81">
              <w:t>Q3 2025</w:t>
            </w:r>
          </w:p>
        </w:tc>
        <w:tc>
          <w:tcPr>
            <w:tcW w:w="0" w:type="auto"/>
            <w:vAlign w:val="center"/>
            <w:hideMark/>
          </w:tcPr>
          <w:p w14:paraId="5ECAC3DD" w14:textId="2EF43ED2" w:rsidR="00B16C81" w:rsidRPr="00B16C81" w:rsidRDefault="00B16C81" w:rsidP="00B16C81">
            <w:r>
              <w:rPr>
                <w:b/>
                <w:bCs/>
              </w:rPr>
              <w:t xml:space="preserve">               </w:t>
            </w:r>
            <w:r w:rsidRPr="00B16C81">
              <w:rPr>
                <w:b/>
                <w:bCs/>
                <w:color w:val="3A7C22" w:themeColor="accent6" w:themeShade="BF"/>
              </w:rPr>
              <w:t>21.1%</w:t>
            </w:r>
          </w:p>
        </w:tc>
      </w:tr>
    </w:tbl>
    <w:p w14:paraId="20B935A2" w14:textId="77777777" w:rsidR="00B16C81" w:rsidRPr="000C4234" w:rsidRDefault="00B16C81" w:rsidP="000C4234"/>
    <w:p w14:paraId="5BBBA9B4" w14:textId="77777777" w:rsidR="00AA3919" w:rsidRDefault="00AA3919" w:rsidP="000C4234">
      <w:pPr>
        <w:rPr>
          <w:b/>
          <w:bCs/>
        </w:rPr>
      </w:pPr>
    </w:p>
    <w:p w14:paraId="5C897C76" w14:textId="1A9B87F6" w:rsidR="000C4234" w:rsidRPr="000C4234" w:rsidRDefault="000C4234" w:rsidP="000C4234">
      <w:pPr>
        <w:rPr>
          <w:b/>
          <w:bCs/>
        </w:rPr>
      </w:pPr>
      <w:r w:rsidRPr="000C4234">
        <w:rPr>
          <w:b/>
          <w:bCs/>
        </w:rPr>
        <w:lastRenderedPageBreak/>
        <w:t>Trend Characteristics:</w:t>
      </w:r>
    </w:p>
    <w:p w14:paraId="21789323" w14:textId="77777777" w:rsidR="000C4234" w:rsidRPr="000C4234" w:rsidRDefault="000C4234" w:rsidP="000C4234">
      <w:pPr>
        <w:numPr>
          <w:ilvl w:val="0"/>
          <w:numId w:val="7"/>
        </w:numPr>
      </w:pPr>
      <w:r w:rsidRPr="000C4234">
        <w:t>Strong upward momentum over time</w:t>
      </w:r>
    </w:p>
    <w:p w14:paraId="29B15825" w14:textId="77777777" w:rsidR="000C4234" w:rsidRPr="000C4234" w:rsidRDefault="000C4234" w:rsidP="000C4234">
      <w:pPr>
        <w:numPr>
          <w:ilvl w:val="0"/>
          <w:numId w:val="7"/>
        </w:numPr>
      </w:pPr>
      <w:r w:rsidRPr="000C4234">
        <w:t>Acceleration phase in later quarters</w:t>
      </w:r>
    </w:p>
    <w:p w14:paraId="138F4049" w14:textId="77777777" w:rsidR="000C4234" w:rsidRPr="000C4234" w:rsidRDefault="000C4234" w:rsidP="000C4234">
      <w:pPr>
        <w:numPr>
          <w:ilvl w:val="0"/>
          <w:numId w:val="7"/>
        </w:numPr>
      </w:pPr>
      <w:r w:rsidRPr="000C4234">
        <w:t>No major corrections observed</w:t>
      </w:r>
    </w:p>
    <w:p w14:paraId="79A1F6E0" w14:textId="77777777" w:rsidR="000C4234" w:rsidRPr="000C4234" w:rsidRDefault="000C4234" w:rsidP="000C4234">
      <w:pPr>
        <w:numPr>
          <w:ilvl w:val="0"/>
          <w:numId w:val="7"/>
        </w:numPr>
      </w:pPr>
      <w:r w:rsidRPr="000C4234">
        <w:t>Steep growth in the final observed period</w:t>
      </w:r>
    </w:p>
    <w:p w14:paraId="1AE6F12B" w14:textId="24A6DC75" w:rsidR="000C4234" w:rsidRDefault="000C4234" w:rsidP="004944BC">
      <w:pPr>
        <w:pStyle w:val="ListParagraph"/>
        <w:numPr>
          <w:ilvl w:val="0"/>
          <w:numId w:val="50"/>
        </w:numPr>
      </w:pPr>
      <w:r w:rsidRPr="000C4234">
        <w:t>Hungary's housing market appears to be in a high-growth phase compared to the EU average.</w:t>
      </w:r>
      <w:r w:rsidR="004944BC">
        <w:t xml:space="preserve"> </w:t>
      </w:r>
    </w:p>
    <w:p w14:paraId="130198F0" w14:textId="6E27239C" w:rsidR="004944BC" w:rsidRPr="000C4234" w:rsidRDefault="004944BC" w:rsidP="004944BC">
      <w:pPr>
        <w:pStyle w:val="ListParagraph"/>
        <w:numPr>
          <w:ilvl w:val="0"/>
          <w:numId w:val="50"/>
        </w:numPr>
      </w:pPr>
      <w:r w:rsidRPr="004944BC">
        <w:t>Strong demand, government housing policies, rising incomes, and limited housing supply have contributed to significant price growth.</w:t>
      </w:r>
    </w:p>
    <w:p w14:paraId="28BEB3E6" w14:textId="77777777" w:rsidR="000C4234" w:rsidRPr="000C4234" w:rsidRDefault="00000000" w:rsidP="000C4234">
      <w:r>
        <w:pict w14:anchorId="18253995">
          <v:rect id="_x0000_i1030" style="width:0;height:1.5pt" o:hralign="center" o:hrstd="t" o:hr="t" fillcolor="#a0a0a0" stroked="f"/>
        </w:pict>
      </w:r>
    </w:p>
    <w:p w14:paraId="2DCE7A30" w14:textId="77777777" w:rsidR="00B029FD" w:rsidRDefault="00B029FD" w:rsidP="000C4234">
      <w:pPr>
        <w:rPr>
          <w:rFonts w:ascii="Arial" w:hAnsi="Arial" w:cs="Arial"/>
          <w:b/>
          <w:bCs/>
          <w:sz w:val="28"/>
          <w:szCs w:val="28"/>
        </w:rPr>
      </w:pPr>
    </w:p>
    <w:p w14:paraId="6A3D5407" w14:textId="2D443C6A" w:rsidR="000C4234" w:rsidRPr="000C50C5" w:rsidRDefault="000C50C5" w:rsidP="000C423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="000C4234" w:rsidRPr="000C50C5">
        <w:rPr>
          <w:rFonts w:ascii="Arial" w:hAnsi="Arial" w:cs="Arial"/>
          <w:b/>
          <w:bCs/>
          <w:sz w:val="28"/>
          <w:szCs w:val="28"/>
        </w:rPr>
        <w:t xml:space="preserve">. </w:t>
      </w:r>
      <w:r w:rsidR="00521F69" w:rsidRPr="00521F69">
        <w:rPr>
          <w:rFonts w:ascii="Arial" w:hAnsi="Arial" w:cs="Arial"/>
          <w:b/>
          <w:bCs/>
          <w:sz w:val="28"/>
          <w:szCs w:val="28"/>
        </w:rPr>
        <w:t>Conclusion and Key Insights</w:t>
      </w:r>
    </w:p>
    <w:p w14:paraId="4DCD6F8D" w14:textId="77777777" w:rsidR="000C4234" w:rsidRPr="000C4234" w:rsidRDefault="000C4234" w:rsidP="000C4234">
      <w:r w:rsidRPr="000C4234">
        <w:t>The Eurostat Housing Price Index data reveals:</w:t>
      </w:r>
    </w:p>
    <w:p w14:paraId="7F9694F2" w14:textId="77777777" w:rsidR="00555719" w:rsidRDefault="00555719" w:rsidP="00555719">
      <w:pPr>
        <w:pStyle w:val="ListParagraph"/>
        <w:numPr>
          <w:ilvl w:val="0"/>
          <w:numId w:val="63"/>
        </w:numPr>
        <w:spacing w:after="0" w:line="276" w:lineRule="auto"/>
      </w:pPr>
      <w:r w:rsidRPr="00555719">
        <w:t>A persistent upward trend in EU housing prices</w:t>
      </w:r>
    </w:p>
    <w:p w14:paraId="1A87302B" w14:textId="7A1B2CE7" w:rsidR="00555719" w:rsidRPr="00555719" w:rsidRDefault="00555719" w:rsidP="00555719">
      <w:pPr>
        <w:pStyle w:val="ListParagraph"/>
        <w:numPr>
          <w:ilvl w:val="0"/>
          <w:numId w:val="63"/>
        </w:numPr>
        <w:spacing w:after="0" w:line="276" w:lineRule="auto"/>
      </w:pPr>
      <w:r w:rsidRPr="00555719">
        <w:t>Significant differences across countries</w:t>
      </w:r>
    </w:p>
    <w:p w14:paraId="63740970" w14:textId="6039CA3C" w:rsidR="00555719" w:rsidRPr="00555719" w:rsidRDefault="00555719" w:rsidP="00555719">
      <w:pPr>
        <w:pStyle w:val="ListParagraph"/>
        <w:numPr>
          <w:ilvl w:val="0"/>
          <w:numId w:val="63"/>
        </w:numPr>
        <w:spacing w:after="0" w:line="276" w:lineRule="auto"/>
      </w:pPr>
      <w:r w:rsidRPr="00555719">
        <w:t>Increased price volatility in some markets</w:t>
      </w:r>
    </w:p>
    <w:p w14:paraId="5454A4D5" w14:textId="37B2CEDA" w:rsidR="00555719" w:rsidRPr="00555719" w:rsidRDefault="00555719" w:rsidP="00555719">
      <w:pPr>
        <w:pStyle w:val="ListParagraph"/>
        <w:numPr>
          <w:ilvl w:val="0"/>
          <w:numId w:val="63"/>
        </w:numPr>
        <w:spacing w:after="0" w:line="276" w:lineRule="auto"/>
      </w:pPr>
      <w:r w:rsidRPr="00555719">
        <w:t>A growing gap between high-demand and low-demand regions</w:t>
      </w:r>
    </w:p>
    <w:p w14:paraId="13699D2D" w14:textId="77777777" w:rsidR="00BA6CC2" w:rsidRDefault="00BA6CC2" w:rsidP="00BA6CC2">
      <w:pPr>
        <w:spacing w:after="0" w:line="240" w:lineRule="auto"/>
        <w:ind w:left="720"/>
      </w:pPr>
    </w:p>
    <w:p w14:paraId="16216FF9" w14:textId="77777777" w:rsidR="00BA6CC2" w:rsidRDefault="00BA6CC2" w:rsidP="00BA6CC2">
      <w:pPr>
        <w:pStyle w:val="ListParagraph"/>
        <w:ind w:left="0"/>
      </w:pPr>
      <w:r w:rsidRPr="0035441D">
        <w:t xml:space="preserve">Recent data for </w:t>
      </w:r>
      <w:r w:rsidRPr="00BA6CC2">
        <w:rPr>
          <w:b/>
          <w:bCs/>
          <w:i/>
          <w:iCs/>
        </w:rPr>
        <w:t>2025</w:t>
      </w:r>
      <w:r w:rsidRPr="0035441D">
        <w:t xml:space="preserve"> suggests that housing price growth remains strong in parts of </w:t>
      </w:r>
      <w:r w:rsidRPr="00BA6CC2">
        <w:rPr>
          <w:b/>
          <w:bCs/>
          <w:i/>
          <w:iCs/>
        </w:rPr>
        <w:t>Eastern and Southern Europe</w:t>
      </w:r>
      <w:r w:rsidRPr="0035441D">
        <w:t xml:space="preserve">, including countries such as </w:t>
      </w:r>
      <w:r w:rsidRPr="00BA6CC2">
        <w:rPr>
          <w:b/>
          <w:bCs/>
          <w:i/>
          <w:iCs/>
        </w:rPr>
        <w:t>Hungary and Portugal</w:t>
      </w:r>
      <w:r w:rsidRPr="0035441D">
        <w:t xml:space="preserve">, where annual price growth continues to exceed many other European markets. Meanwhile, </w:t>
      </w:r>
      <w:r w:rsidRPr="00BA6CC2">
        <w:rPr>
          <w:b/>
          <w:bCs/>
          <w:i/>
          <w:iCs/>
        </w:rPr>
        <w:t>Northern European countries such as Finland and Sweden</w:t>
      </w:r>
      <w:r w:rsidRPr="0035441D">
        <w:t xml:space="preserve"> show slower growth or mild declines, suggesting cooling housing demand.</w:t>
      </w:r>
    </w:p>
    <w:p w14:paraId="4392E120" w14:textId="77777777" w:rsidR="003E7226" w:rsidRDefault="003E7226" w:rsidP="00BA6CC2">
      <w:pPr>
        <w:pStyle w:val="ListParagraph"/>
        <w:ind w:left="0"/>
      </w:pPr>
    </w:p>
    <w:p w14:paraId="4A706245" w14:textId="77777777" w:rsidR="00340E6A" w:rsidRDefault="00340E6A" w:rsidP="003E7226">
      <w:pPr>
        <w:pStyle w:val="ListParagraph"/>
        <w:spacing w:after="0" w:line="240" w:lineRule="auto"/>
        <w:ind w:left="0"/>
      </w:pPr>
    </w:p>
    <w:p w14:paraId="6DD7067E" w14:textId="737077B7" w:rsidR="00340E6A" w:rsidRDefault="00340E6A" w:rsidP="003E7226">
      <w:pPr>
        <w:pStyle w:val="ListParagraph"/>
        <w:numPr>
          <w:ilvl w:val="0"/>
          <w:numId w:val="62"/>
        </w:numPr>
        <w:rPr>
          <w:rFonts w:asciiTheme="majorHAnsi" w:hAnsiTheme="majorHAnsi"/>
          <w:b/>
          <w:bCs/>
        </w:rPr>
      </w:pPr>
      <w:r w:rsidRPr="003E7226">
        <w:rPr>
          <w:rFonts w:asciiTheme="majorHAnsi" w:hAnsiTheme="majorHAnsi"/>
          <w:b/>
          <w:bCs/>
        </w:rPr>
        <w:t>V</w:t>
      </w:r>
      <w:r w:rsidRPr="003E7226">
        <w:rPr>
          <w:rFonts w:asciiTheme="majorHAnsi" w:hAnsiTheme="majorHAnsi"/>
          <w:b/>
          <w:bCs/>
        </w:rPr>
        <w:t>olatility</w:t>
      </w:r>
      <w:r w:rsidRPr="003E7226">
        <w:rPr>
          <w:rFonts w:asciiTheme="majorHAnsi" w:hAnsiTheme="majorHAnsi"/>
          <w:b/>
          <w:bCs/>
        </w:rPr>
        <w:t xml:space="preserve"> </w:t>
      </w:r>
      <w:r w:rsidRPr="003E7226">
        <w:rPr>
          <w:rFonts w:asciiTheme="majorHAnsi" w:hAnsiTheme="majorHAnsi"/>
          <w:b/>
          <w:bCs/>
        </w:rPr>
        <w:t>in the housing market</w:t>
      </w:r>
    </w:p>
    <w:p w14:paraId="50DF2207" w14:textId="77777777" w:rsidR="003E7226" w:rsidRPr="003E7226" w:rsidRDefault="003E7226" w:rsidP="003E7226">
      <w:pPr>
        <w:pStyle w:val="ListParagraph"/>
        <w:spacing w:after="0" w:line="240" w:lineRule="auto"/>
        <w:ind w:left="360"/>
        <w:rPr>
          <w:rFonts w:asciiTheme="majorHAnsi" w:hAnsiTheme="majorHAnsi"/>
          <w:b/>
          <w:bCs/>
        </w:rPr>
      </w:pPr>
    </w:p>
    <w:p w14:paraId="02184EC8" w14:textId="2934E8EA" w:rsidR="00340E6A" w:rsidRDefault="00340E6A" w:rsidP="00340E6A">
      <w:pPr>
        <w:pStyle w:val="ListParagraph"/>
        <w:numPr>
          <w:ilvl w:val="0"/>
          <w:numId w:val="45"/>
        </w:numPr>
        <w:spacing w:after="0"/>
        <w:rPr>
          <w:rFonts w:asciiTheme="majorHAnsi" w:hAnsiTheme="majorHAnsi"/>
        </w:rPr>
      </w:pPr>
      <w:r w:rsidRPr="00340E6A">
        <w:rPr>
          <w:rFonts w:asciiTheme="majorHAnsi" w:hAnsiTheme="majorHAnsi"/>
        </w:rPr>
        <w:t>Highest Quarterly Increase: The country of Türkiye saw the largest surge in housing market values during Q2 2022, with a notable growth of 47.1%.</w:t>
      </w:r>
    </w:p>
    <w:p w14:paraId="6973FAA0" w14:textId="77777777" w:rsidR="00340E6A" w:rsidRDefault="00340E6A" w:rsidP="00340E6A">
      <w:pPr>
        <w:spacing w:after="0"/>
        <w:rPr>
          <w:rFonts w:asciiTheme="majorHAnsi" w:hAnsiTheme="majorHAnsi"/>
        </w:rPr>
      </w:pPr>
    </w:p>
    <w:p w14:paraId="6FFCA538" w14:textId="12DFE9F1" w:rsidR="00340E6A" w:rsidRDefault="00340E6A" w:rsidP="00340E6A">
      <w:pPr>
        <w:pStyle w:val="ListParagraph"/>
        <w:numPr>
          <w:ilvl w:val="0"/>
          <w:numId w:val="45"/>
        </w:numPr>
        <w:rPr>
          <w:rFonts w:asciiTheme="majorHAnsi" w:hAnsiTheme="majorHAnsi"/>
        </w:rPr>
      </w:pPr>
      <w:r w:rsidRPr="00340E6A">
        <w:rPr>
          <w:rFonts w:asciiTheme="majorHAnsi" w:hAnsiTheme="majorHAnsi"/>
        </w:rPr>
        <w:t>Largest Quarterly Decline: Conversely, Cyprus experienced the largest decline in housing prices in Q1 2021, with a drop of –8.4%</w:t>
      </w:r>
      <w:r w:rsidR="003E7226">
        <w:rPr>
          <w:rFonts w:asciiTheme="majorHAnsi" w:hAnsiTheme="majorHAnsi"/>
        </w:rPr>
        <w:t>.</w:t>
      </w:r>
    </w:p>
    <w:p w14:paraId="4F9A91EE" w14:textId="77777777" w:rsidR="003E7226" w:rsidRPr="003E7226" w:rsidRDefault="003E7226" w:rsidP="003E7226">
      <w:pPr>
        <w:pStyle w:val="ListParagraph"/>
        <w:rPr>
          <w:rFonts w:asciiTheme="majorHAnsi" w:hAnsiTheme="majorHAnsi"/>
        </w:rPr>
      </w:pPr>
    </w:p>
    <w:p w14:paraId="31F643FA" w14:textId="458D8696" w:rsidR="003E7226" w:rsidRPr="00340E6A" w:rsidRDefault="003E7226" w:rsidP="003E7226">
      <w:pPr>
        <w:pStyle w:val="ListParagraph"/>
        <w:ind w:left="360"/>
        <w:rPr>
          <w:rFonts w:asciiTheme="majorHAnsi" w:hAnsiTheme="majorHAnsi"/>
        </w:rPr>
      </w:pPr>
      <w:r w:rsidRPr="003E7226">
        <w:rPr>
          <w:rFonts w:asciiTheme="majorHAnsi" w:hAnsiTheme="majorHAnsi"/>
        </w:rPr>
        <w:t>These contrasting trends highlight the unpredictability of the real estate market, where periods of rapid growth can be followed by significant declines.</w:t>
      </w:r>
    </w:p>
    <w:p w14:paraId="632AB859" w14:textId="77777777" w:rsidR="00B029FD" w:rsidRDefault="00B029FD" w:rsidP="00B029FD">
      <w:pPr>
        <w:rPr>
          <w:b/>
          <w:bCs/>
        </w:rPr>
      </w:pPr>
    </w:p>
    <w:p w14:paraId="18ECA783" w14:textId="5A74FBD7" w:rsidR="00B029FD" w:rsidRPr="00B029FD" w:rsidRDefault="00B029FD" w:rsidP="00555719">
      <w:pPr>
        <w:pStyle w:val="Heading1"/>
        <w:numPr>
          <w:ilvl w:val="0"/>
          <w:numId w:val="0"/>
        </w:numPr>
        <w:spacing w:before="0"/>
        <w:rPr>
          <w:b/>
          <w:bCs/>
          <w:color w:val="auto"/>
          <w:sz w:val="24"/>
          <w:szCs w:val="24"/>
        </w:rPr>
      </w:pPr>
      <w:r w:rsidRPr="00B029FD">
        <w:rPr>
          <w:b/>
          <w:bCs/>
          <w:color w:val="auto"/>
          <w:sz w:val="24"/>
          <w:szCs w:val="24"/>
        </w:rPr>
        <w:lastRenderedPageBreak/>
        <w:t>Strategic Insights for Investors</w:t>
      </w:r>
    </w:p>
    <w:p w14:paraId="49E31D83" w14:textId="77777777" w:rsidR="00B029FD" w:rsidRPr="00B029FD" w:rsidRDefault="00B029FD" w:rsidP="00B029FD">
      <w:pPr>
        <w:pStyle w:val="Heading1"/>
        <w:numPr>
          <w:ilvl w:val="0"/>
          <w:numId w:val="38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029FD">
        <w:rPr>
          <w:rFonts w:asciiTheme="minorHAnsi" w:hAnsiTheme="minorHAnsi"/>
          <w:color w:val="auto"/>
          <w:sz w:val="24"/>
          <w:szCs w:val="24"/>
        </w:rPr>
        <w:t>High-Growth Markets</w:t>
      </w:r>
    </w:p>
    <w:p w14:paraId="28F00B06" w14:textId="77777777" w:rsidR="00B029FD" w:rsidRPr="00B029FD" w:rsidRDefault="00B029FD" w:rsidP="00B029FD">
      <w:pPr>
        <w:pStyle w:val="Heading1"/>
        <w:numPr>
          <w:ilvl w:val="2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029FD">
        <w:rPr>
          <w:rFonts w:asciiTheme="minorHAnsi" w:hAnsiTheme="minorHAnsi"/>
          <w:color w:val="auto"/>
          <w:sz w:val="24"/>
          <w:szCs w:val="24"/>
        </w:rPr>
        <w:t>Best potential returns:</w:t>
      </w:r>
    </w:p>
    <w:p w14:paraId="1BE3B641" w14:textId="77777777" w:rsidR="00B029FD" w:rsidRPr="00B029FD" w:rsidRDefault="00B029FD" w:rsidP="00B029FD">
      <w:pPr>
        <w:pStyle w:val="Heading1"/>
        <w:numPr>
          <w:ilvl w:val="3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029FD">
        <w:rPr>
          <w:rFonts w:asciiTheme="minorHAnsi" w:hAnsiTheme="minorHAnsi"/>
          <w:color w:val="auto"/>
          <w:sz w:val="24"/>
          <w:szCs w:val="24"/>
        </w:rPr>
        <w:t>Hungary</w:t>
      </w:r>
    </w:p>
    <w:p w14:paraId="09D3A39F" w14:textId="77777777" w:rsidR="00B029FD" w:rsidRPr="00B029FD" w:rsidRDefault="00B029FD" w:rsidP="00B029FD">
      <w:pPr>
        <w:pStyle w:val="Heading1"/>
        <w:numPr>
          <w:ilvl w:val="3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029FD">
        <w:rPr>
          <w:rFonts w:asciiTheme="minorHAnsi" w:hAnsiTheme="minorHAnsi"/>
          <w:color w:val="auto"/>
          <w:sz w:val="24"/>
          <w:szCs w:val="24"/>
        </w:rPr>
        <w:t>Portugal</w:t>
      </w:r>
    </w:p>
    <w:p w14:paraId="1738D398" w14:textId="77777777" w:rsidR="00B029FD" w:rsidRPr="00B029FD" w:rsidRDefault="00B029FD" w:rsidP="00B029FD">
      <w:pPr>
        <w:pStyle w:val="Heading1"/>
        <w:numPr>
          <w:ilvl w:val="3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029FD">
        <w:rPr>
          <w:rFonts w:asciiTheme="minorHAnsi" w:hAnsiTheme="minorHAnsi"/>
          <w:color w:val="auto"/>
          <w:sz w:val="24"/>
          <w:szCs w:val="24"/>
        </w:rPr>
        <w:t>Bulgaria</w:t>
      </w:r>
    </w:p>
    <w:p w14:paraId="7A1A36F9" w14:textId="77777777" w:rsidR="00B029FD" w:rsidRDefault="00B029FD" w:rsidP="00B029FD">
      <w:pPr>
        <w:pStyle w:val="Heading1"/>
        <w:numPr>
          <w:ilvl w:val="3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029FD">
        <w:rPr>
          <w:rFonts w:asciiTheme="minorHAnsi" w:hAnsiTheme="minorHAnsi"/>
          <w:color w:val="auto"/>
          <w:sz w:val="24"/>
          <w:szCs w:val="24"/>
        </w:rPr>
        <w:t>Croatia</w:t>
      </w:r>
    </w:p>
    <w:p w14:paraId="195CD8DB" w14:textId="77777777" w:rsidR="00B029FD" w:rsidRPr="00B029FD" w:rsidRDefault="00B029FD" w:rsidP="00B029FD">
      <w:pPr>
        <w:spacing w:after="0" w:line="240" w:lineRule="auto"/>
      </w:pPr>
    </w:p>
    <w:p w14:paraId="5ABBD69B" w14:textId="77777777" w:rsidR="00B029FD" w:rsidRPr="00BB61B1" w:rsidRDefault="00B029FD" w:rsidP="00B029FD">
      <w:pPr>
        <w:pStyle w:val="Heading1"/>
        <w:numPr>
          <w:ilvl w:val="0"/>
          <w:numId w:val="38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B61B1">
        <w:rPr>
          <w:rFonts w:asciiTheme="minorHAnsi" w:hAnsiTheme="minorHAnsi"/>
          <w:color w:val="auto"/>
          <w:sz w:val="24"/>
          <w:szCs w:val="24"/>
        </w:rPr>
        <w:t>Stable Long-Term Markets</w:t>
      </w:r>
    </w:p>
    <w:p w14:paraId="7324E4BA" w14:textId="77777777" w:rsidR="00B029FD" w:rsidRPr="00BB61B1" w:rsidRDefault="00B029FD" w:rsidP="00B029FD">
      <w:pPr>
        <w:pStyle w:val="Heading1"/>
        <w:numPr>
          <w:ilvl w:val="2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B61B1">
        <w:rPr>
          <w:rFonts w:asciiTheme="minorHAnsi" w:hAnsiTheme="minorHAnsi"/>
          <w:color w:val="auto"/>
          <w:sz w:val="24"/>
          <w:szCs w:val="24"/>
        </w:rPr>
        <w:t>Lower volatility:</w:t>
      </w:r>
    </w:p>
    <w:p w14:paraId="6967AD67" w14:textId="77777777" w:rsidR="00B029FD" w:rsidRPr="00BB61B1" w:rsidRDefault="00B029FD" w:rsidP="00B029FD">
      <w:pPr>
        <w:pStyle w:val="Heading1"/>
        <w:numPr>
          <w:ilvl w:val="3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B61B1">
        <w:rPr>
          <w:rFonts w:asciiTheme="minorHAnsi" w:hAnsiTheme="minorHAnsi"/>
          <w:color w:val="auto"/>
          <w:sz w:val="24"/>
          <w:szCs w:val="24"/>
        </w:rPr>
        <w:t>France</w:t>
      </w:r>
    </w:p>
    <w:p w14:paraId="49742FBE" w14:textId="77777777" w:rsidR="00B029FD" w:rsidRPr="00BB61B1" w:rsidRDefault="00B029FD" w:rsidP="00B029FD">
      <w:pPr>
        <w:pStyle w:val="Heading1"/>
        <w:numPr>
          <w:ilvl w:val="3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B61B1">
        <w:rPr>
          <w:rFonts w:asciiTheme="minorHAnsi" w:hAnsiTheme="minorHAnsi"/>
          <w:color w:val="auto"/>
          <w:sz w:val="24"/>
          <w:szCs w:val="24"/>
        </w:rPr>
        <w:t>Germany</w:t>
      </w:r>
    </w:p>
    <w:p w14:paraId="09587860" w14:textId="77777777" w:rsidR="00B029FD" w:rsidRPr="00BB61B1" w:rsidRDefault="00B029FD" w:rsidP="00B029FD">
      <w:pPr>
        <w:pStyle w:val="Heading1"/>
        <w:numPr>
          <w:ilvl w:val="3"/>
          <w:numId w:val="57"/>
        </w:numPr>
        <w:spacing w:before="0" w:after="0"/>
        <w:rPr>
          <w:rFonts w:asciiTheme="minorHAnsi" w:hAnsiTheme="minorHAnsi"/>
          <w:color w:val="auto"/>
          <w:sz w:val="24"/>
          <w:szCs w:val="24"/>
        </w:rPr>
      </w:pPr>
      <w:r w:rsidRPr="00BB61B1">
        <w:rPr>
          <w:rFonts w:asciiTheme="minorHAnsi" w:hAnsiTheme="minorHAnsi"/>
          <w:color w:val="auto"/>
          <w:sz w:val="24"/>
          <w:szCs w:val="24"/>
        </w:rPr>
        <w:t>Netherlands</w:t>
      </w:r>
    </w:p>
    <w:p w14:paraId="153FAA9B" w14:textId="77777777" w:rsidR="00B029FD" w:rsidRDefault="00B029FD" w:rsidP="00B029FD">
      <w:pPr>
        <w:ind w:left="720"/>
      </w:pPr>
    </w:p>
    <w:p w14:paraId="580E1150" w14:textId="77777777" w:rsidR="00BA6CC2" w:rsidRPr="0035441D" w:rsidRDefault="00BA6CC2" w:rsidP="00BA6CC2">
      <w:r w:rsidRPr="0035441D">
        <w:t xml:space="preserve">Overall, the European housing market experienced </w:t>
      </w:r>
      <w:r w:rsidRPr="00BA6CC2">
        <w:rPr>
          <w:b/>
          <w:bCs/>
          <w:i/>
          <w:iCs/>
        </w:rPr>
        <w:t>steady growth from 2015 to 2019</w:t>
      </w:r>
      <w:r w:rsidRPr="0035441D">
        <w:t xml:space="preserve">, followed by </w:t>
      </w:r>
      <w:r w:rsidRPr="00BA6CC2">
        <w:rPr>
          <w:b/>
          <w:bCs/>
          <w:i/>
          <w:iCs/>
        </w:rPr>
        <w:t>accelerated price increases during 2020–2022</w:t>
      </w:r>
      <w:r w:rsidRPr="0035441D">
        <w:t xml:space="preserve">. This surge was largely driven by low interest rates, increased housing demand, and post-pandemic economic conditions. However, from </w:t>
      </w:r>
      <w:r w:rsidRPr="00BA6CC2">
        <w:rPr>
          <w:b/>
          <w:bCs/>
          <w:i/>
          <w:iCs/>
        </w:rPr>
        <w:t>2023 onward</w:t>
      </w:r>
      <w:r w:rsidRPr="0035441D">
        <w:t>, several markets began to slow down or correct as interest rates rose and economic uncertainty increased.</w:t>
      </w:r>
    </w:p>
    <w:p w14:paraId="72D37246" w14:textId="72AF67C1" w:rsidR="000C4234" w:rsidRPr="000C4234" w:rsidRDefault="000B7DA5" w:rsidP="000B7DA5">
      <w:r w:rsidRPr="000B7DA5">
        <w:t>Future housing market developments will depend on economic growth, interest rate conditions, housing supply, and demographic demand across EU member states.</w:t>
      </w:r>
    </w:p>
    <w:p w14:paraId="7618EE6A" w14:textId="25C1A046" w:rsidR="000C4234" w:rsidRPr="000C4234" w:rsidRDefault="00BA6CC2" w:rsidP="000B7DA5">
      <w:r>
        <w:pict w14:anchorId="19EC9FF8">
          <v:rect id="_x0000_i1105" style="width:0;height:1.5pt" o:hralign="center" o:hrstd="t" o:hr="t" fillcolor="#a0a0a0" stroked="f"/>
        </w:pict>
      </w:r>
    </w:p>
    <w:sectPr w:rsidR="000C4234" w:rsidRPr="000C42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 Semibold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8263"/>
      </v:shape>
    </w:pict>
  </w:numPicBullet>
  <w:abstractNum w:abstractNumId="0" w15:restartNumberingAfterBreak="0">
    <w:nsid w:val="028A0F0C"/>
    <w:multiLevelType w:val="hybridMultilevel"/>
    <w:tmpl w:val="BF6630F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D5332"/>
    <w:multiLevelType w:val="hybridMultilevel"/>
    <w:tmpl w:val="DA048CEE"/>
    <w:lvl w:ilvl="0" w:tplc="20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7F2ABE"/>
    <w:multiLevelType w:val="multilevel"/>
    <w:tmpl w:val="E94E0BB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22F8"/>
    <w:multiLevelType w:val="multilevel"/>
    <w:tmpl w:val="63B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83B9D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AA63EF9"/>
    <w:multiLevelType w:val="multilevel"/>
    <w:tmpl w:val="2ED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07640"/>
    <w:multiLevelType w:val="multilevel"/>
    <w:tmpl w:val="A54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B73F9"/>
    <w:multiLevelType w:val="hybridMultilevel"/>
    <w:tmpl w:val="B5FE733E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6A4540"/>
    <w:multiLevelType w:val="multilevel"/>
    <w:tmpl w:val="D4F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250C4"/>
    <w:multiLevelType w:val="multilevel"/>
    <w:tmpl w:val="48E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046B9"/>
    <w:multiLevelType w:val="hybridMultilevel"/>
    <w:tmpl w:val="26027F76"/>
    <w:lvl w:ilvl="0" w:tplc="2000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1A2469"/>
    <w:multiLevelType w:val="multilevel"/>
    <w:tmpl w:val="ADC847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47B00"/>
    <w:multiLevelType w:val="multilevel"/>
    <w:tmpl w:val="FFE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D2C48"/>
    <w:multiLevelType w:val="multilevel"/>
    <w:tmpl w:val="F05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43751"/>
    <w:multiLevelType w:val="hybridMultilevel"/>
    <w:tmpl w:val="DEA03A0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64C8C"/>
    <w:multiLevelType w:val="hybridMultilevel"/>
    <w:tmpl w:val="8CC6FC9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21374C"/>
    <w:multiLevelType w:val="hybridMultilevel"/>
    <w:tmpl w:val="2982C0EA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F146E"/>
    <w:multiLevelType w:val="hybridMultilevel"/>
    <w:tmpl w:val="600294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80B66"/>
    <w:multiLevelType w:val="multilevel"/>
    <w:tmpl w:val="FAFA11C2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D4FE4"/>
    <w:multiLevelType w:val="hybridMultilevel"/>
    <w:tmpl w:val="2E04A14E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5A44A45"/>
    <w:multiLevelType w:val="hybridMultilevel"/>
    <w:tmpl w:val="DEF02342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BD71BB"/>
    <w:multiLevelType w:val="multilevel"/>
    <w:tmpl w:val="BF1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CE42FD"/>
    <w:multiLevelType w:val="hybridMultilevel"/>
    <w:tmpl w:val="9DB6BE60"/>
    <w:lvl w:ilvl="0" w:tplc="2000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84D46A2"/>
    <w:multiLevelType w:val="multilevel"/>
    <w:tmpl w:val="142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11B76"/>
    <w:multiLevelType w:val="multilevel"/>
    <w:tmpl w:val="540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B4F91"/>
    <w:multiLevelType w:val="hybridMultilevel"/>
    <w:tmpl w:val="4F909912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926B09"/>
    <w:multiLevelType w:val="multilevel"/>
    <w:tmpl w:val="8DE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D2707"/>
    <w:multiLevelType w:val="hybridMultilevel"/>
    <w:tmpl w:val="700E296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542E05"/>
    <w:multiLevelType w:val="multilevel"/>
    <w:tmpl w:val="51C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92A1A"/>
    <w:multiLevelType w:val="multilevel"/>
    <w:tmpl w:val="82AA2D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00597"/>
    <w:multiLevelType w:val="multilevel"/>
    <w:tmpl w:val="2000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31" w15:restartNumberingAfterBreak="0">
    <w:nsid w:val="3EA50FB2"/>
    <w:multiLevelType w:val="multilevel"/>
    <w:tmpl w:val="AB7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C0668"/>
    <w:multiLevelType w:val="multilevel"/>
    <w:tmpl w:val="EC7CEA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B354D"/>
    <w:multiLevelType w:val="multilevel"/>
    <w:tmpl w:val="137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455349"/>
    <w:multiLevelType w:val="multilevel"/>
    <w:tmpl w:val="6520EFF4"/>
    <w:lvl w:ilvl="0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80"/>
        </w:tabs>
        <w:ind w:left="109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42E48"/>
    <w:multiLevelType w:val="multilevel"/>
    <w:tmpl w:val="CF62990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6" w15:restartNumberingAfterBreak="0">
    <w:nsid w:val="469B5CB5"/>
    <w:multiLevelType w:val="multilevel"/>
    <w:tmpl w:val="94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A82984"/>
    <w:multiLevelType w:val="multilevel"/>
    <w:tmpl w:val="DB4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04AF1"/>
    <w:multiLevelType w:val="multilevel"/>
    <w:tmpl w:val="A3C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47B08"/>
    <w:multiLevelType w:val="hybridMultilevel"/>
    <w:tmpl w:val="8968DE66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13361A1"/>
    <w:multiLevelType w:val="multilevel"/>
    <w:tmpl w:val="34D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86BFF"/>
    <w:multiLevelType w:val="multilevel"/>
    <w:tmpl w:val="ECC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9501B"/>
    <w:multiLevelType w:val="hybridMultilevel"/>
    <w:tmpl w:val="BF4A0E3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72587D"/>
    <w:multiLevelType w:val="hybridMultilevel"/>
    <w:tmpl w:val="E80E20C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D620FA"/>
    <w:multiLevelType w:val="multilevel"/>
    <w:tmpl w:val="783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436155"/>
    <w:multiLevelType w:val="hybridMultilevel"/>
    <w:tmpl w:val="4ED24586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9433668"/>
    <w:multiLevelType w:val="multilevel"/>
    <w:tmpl w:val="C3E4B1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30B1C"/>
    <w:multiLevelType w:val="multilevel"/>
    <w:tmpl w:val="C18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46352"/>
    <w:multiLevelType w:val="hybridMultilevel"/>
    <w:tmpl w:val="9834A19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DA3008E"/>
    <w:multiLevelType w:val="hybridMultilevel"/>
    <w:tmpl w:val="E1AAF8D8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F9D4421"/>
    <w:multiLevelType w:val="multilevel"/>
    <w:tmpl w:val="BCD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344DB3"/>
    <w:multiLevelType w:val="multilevel"/>
    <w:tmpl w:val="262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662339"/>
    <w:multiLevelType w:val="multilevel"/>
    <w:tmpl w:val="DDD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8C0B84"/>
    <w:multiLevelType w:val="multilevel"/>
    <w:tmpl w:val="0E7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D657D"/>
    <w:multiLevelType w:val="hybridMultilevel"/>
    <w:tmpl w:val="8F2619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C940BE"/>
    <w:multiLevelType w:val="hybridMultilevel"/>
    <w:tmpl w:val="CA2C9DD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6275E6"/>
    <w:multiLevelType w:val="multilevel"/>
    <w:tmpl w:val="1312E818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6AA86CC7"/>
    <w:multiLevelType w:val="hybridMultilevel"/>
    <w:tmpl w:val="D318E3D0"/>
    <w:lvl w:ilvl="0" w:tplc="2000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BA141C1"/>
    <w:multiLevelType w:val="multilevel"/>
    <w:tmpl w:val="88C432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9" w15:restartNumberingAfterBreak="0">
    <w:nsid w:val="6C9B3AF1"/>
    <w:multiLevelType w:val="multilevel"/>
    <w:tmpl w:val="EB6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13ADA"/>
    <w:multiLevelType w:val="multilevel"/>
    <w:tmpl w:val="061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0F5C6F"/>
    <w:multiLevelType w:val="multilevel"/>
    <w:tmpl w:val="C6B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895614">
    <w:abstractNumId w:val="31"/>
  </w:num>
  <w:num w:numId="2" w16cid:durableId="385298992">
    <w:abstractNumId w:val="51"/>
  </w:num>
  <w:num w:numId="3" w16cid:durableId="638995834">
    <w:abstractNumId w:val="5"/>
  </w:num>
  <w:num w:numId="4" w16cid:durableId="1090396521">
    <w:abstractNumId w:val="3"/>
  </w:num>
  <w:num w:numId="5" w16cid:durableId="1675574821">
    <w:abstractNumId w:val="52"/>
  </w:num>
  <w:num w:numId="6" w16cid:durableId="1460535566">
    <w:abstractNumId w:val="21"/>
  </w:num>
  <w:num w:numId="7" w16cid:durableId="1273244794">
    <w:abstractNumId w:val="13"/>
  </w:num>
  <w:num w:numId="8" w16cid:durableId="380062155">
    <w:abstractNumId w:val="60"/>
  </w:num>
  <w:num w:numId="9" w16cid:durableId="668601262">
    <w:abstractNumId w:val="28"/>
  </w:num>
  <w:num w:numId="10" w16cid:durableId="582840023">
    <w:abstractNumId w:val="41"/>
  </w:num>
  <w:num w:numId="11" w16cid:durableId="1576816551">
    <w:abstractNumId w:val="61"/>
  </w:num>
  <w:num w:numId="12" w16cid:durableId="1341736681">
    <w:abstractNumId w:val="8"/>
  </w:num>
  <w:num w:numId="13" w16cid:durableId="275720320">
    <w:abstractNumId w:val="24"/>
  </w:num>
  <w:num w:numId="14" w16cid:durableId="848451548">
    <w:abstractNumId w:val="59"/>
  </w:num>
  <w:num w:numId="15" w16cid:durableId="987590788">
    <w:abstractNumId w:val="53"/>
  </w:num>
  <w:num w:numId="16" w16cid:durableId="131943406">
    <w:abstractNumId w:val="44"/>
  </w:num>
  <w:num w:numId="17" w16cid:durableId="2012874752">
    <w:abstractNumId w:val="23"/>
  </w:num>
  <w:num w:numId="18" w16cid:durableId="582492099">
    <w:abstractNumId w:val="9"/>
  </w:num>
  <w:num w:numId="19" w16cid:durableId="83458479">
    <w:abstractNumId w:val="38"/>
  </w:num>
  <w:num w:numId="20" w16cid:durableId="1704090647">
    <w:abstractNumId w:val="27"/>
  </w:num>
  <w:num w:numId="21" w16cid:durableId="226843226">
    <w:abstractNumId w:val="50"/>
  </w:num>
  <w:num w:numId="22" w16cid:durableId="1409763501">
    <w:abstractNumId w:val="15"/>
  </w:num>
  <w:num w:numId="23" w16cid:durableId="1202471782">
    <w:abstractNumId w:val="54"/>
  </w:num>
  <w:num w:numId="24" w16cid:durableId="1659964844">
    <w:abstractNumId w:val="17"/>
  </w:num>
  <w:num w:numId="25" w16cid:durableId="1587379093">
    <w:abstractNumId w:val="48"/>
  </w:num>
  <w:num w:numId="26" w16cid:durableId="1564295588">
    <w:abstractNumId w:val="0"/>
  </w:num>
  <w:num w:numId="27" w16cid:durableId="1998991952">
    <w:abstractNumId w:val="46"/>
  </w:num>
  <w:num w:numId="28" w16cid:durableId="51469277">
    <w:abstractNumId w:val="32"/>
  </w:num>
  <w:num w:numId="29" w16cid:durableId="1596859972">
    <w:abstractNumId w:val="29"/>
  </w:num>
  <w:num w:numId="30" w16cid:durableId="876510531">
    <w:abstractNumId w:val="6"/>
  </w:num>
  <w:num w:numId="31" w16cid:durableId="60376050">
    <w:abstractNumId w:val="36"/>
  </w:num>
  <w:num w:numId="32" w16cid:durableId="1669938734">
    <w:abstractNumId w:val="18"/>
  </w:num>
  <w:num w:numId="33" w16cid:durableId="538902622">
    <w:abstractNumId w:val="40"/>
  </w:num>
  <w:num w:numId="34" w16cid:durableId="978461626">
    <w:abstractNumId w:val="37"/>
  </w:num>
  <w:num w:numId="35" w16cid:durableId="1301571762">
    <w:abstractNumId w:val="43"/>
  </w:num>
  <w:num w:numId="36" w16cid:durableId="1167211741">
    <w:abstractNumId w:val="20"/>
  </w:num>
  <w:num w:numId="37" w16cid:durableId="308438990">
    <w:abstractNumId w:val="16"/>
  </w:num>
  <w:num w:numId="38" w16cid:durableId="263659677">
    <w:abstractNumId w:val="42"/>
  </w:num>
  <w:num w:numId="39" w16cid:durableId="935941823">
    <w:abstractNumId w:val="19"/>
  </w:num>
  <w:num w:numId="40" w16cid:durableId="784349943">
    <w:abstractNumId w:val="22"/>
  </w:num>
  <w:num w:numId="41" w16cid:durableId="617032961">
    <w:abstractNumId w:val="39"/>
  </w:num>
  <w:num w:numId="42" w16cid:durableId="1892378502">
    <w:abstractNumId w:val="7"/>
  </w:num>
  <w:num w:numId="43" w16cid:durableId="1696885196">
    <w:abstractNumId w:val="2"/>
  </w:num>
  <w:num w:numId="44" w16cid:durableId="1348942555">
    <w:abstractNumId w:val="34"/>
  </w:num>
  <w:num w:numId="45" w16cid:durableId="1977560506">
    <w:abstractNumId w:val="55"/>
  </w:num>
  <w:num w:numId="46" w16cid:durableId="713502276">
    <w:abstractNumId w:val="14"/>
  </w:num>
  <w:num w:numId="47" w16cid:durableId="1226531615">
    <w:abstractNumId w:val="49"/>
  </w:num>
  <w:num w:numId="48" w16cid:durableId="1917935903">
    <w:abstractNumId w:val="25"/>
  </w:num>
  <w:num w:numId="49" w16cid:durableId="1907254832">
    <w:abstractNumId w:val="10"/>
  </w:num>
  <w:num w:numId="50" w16cid:durableId="1165439149">
    <w:abstractNumId w:val="45"/>
  </w:num>
  <w:num w:numId="51" w16cid:durableId="1744446469">
    <w:abstractNumId w:val="47"/>
  </w:num>
  <w:num w:numId="52" w16cid:durableId="2122068986">
    <w:abstractNumId w:val="12"/>
  </w:num>
  <w:num w:numId="53" w16cid:durableId="1483766653">
    <w:abstractNumId w:val="35"/>
  </w:num>
  <w:num w:numId="54" w16cid:durableId="158734022">
    <w:abstractNumId w:val="58"/>
  </w:num>
  <w:num w:numId="55" w16cid:durableId="936980624">
    <w:abstractNumId w:val="30"/>
  </w:num>
  <w:num w:numId="56" w16cid:durableId="621225445">
    <w:abstractNumId w:val="4"/>
  </w:num>
  <w:num w:numId="57" w16cid:durableId="1930290">
    <w:abstractNumId w:val="56"/>
  </w:num>
  <w:num w:numId="58" w16cid:durableId="437914792">
    <w:abstractNumId w:val="30"/>
  </w:num>
  <w:num w:numId="59" w16cid:durableId="36665157">
    <w:abstractNumId w:val="11"/>
  </w:num>
  <w:num w:numId="60" w16cid:durableId="254825402">
    <w:abstractNumId w:val="26"/>
  </w:num>
  <w:num w:numId="61" w16cid:durableId="46104204">
    <w:abstractNumId w:val="33"/>
  </w:num>
  <w:num w:numId="62" w16cid:durableId="1452091860">
    <w:abstractNumId w:val="57"/>
  </w:num>
  <w:num w:numId="63" w16cid:durableId="1336498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34"/>
    <w:rsid w:val="000456BA"/>
    <w:rsid w:val="00084909"/>
    <w:rsid w:val="00086877"/>
    <w:rsid w:val="000947CD"/>
    <w:rsid w:val="000B7DA5"/>
    <w:rsid w:val="000C4234"/>
    <w:rsid w:val="000C50C5"/>
    <w:rsid w:val="0015156D"/>
    <w:rsid w:val="001A713E"/>
    <w:rsid w:val="00222597"/>
    <w:rsid w:val="002406C0"/>
    <w:rsid w:val="00286740"/>
    <w:rsid w:val="002915F9"/>
    <w:rsid w:val="002A1794"/>
    <w:rsid w:val="002D34DA"/>
    <w:rsid w:val="00330A62"/>
    <w:rsid w:val="00340E6A"/>
    <w:rsid w:val="00362271"/>
    <w:rsid w:val="00372D45"/>
    <w:rsid w:val="003E65DF"/>
    <w:rsid w:val="003E7226"/>
    <w:rsid w:val="004426C3"/>
    <w:rsid w:val="00450DAC"/>
    <w:rsid w:val="004944BC"/>
    <w:rsid w:val="004A0852"/>
    <w:rsid w:val="004E235F"/>
    <w:rsid w:val="00521F69"/>
    <w:rsid w:val="00555719"/>
    <w:rsid w:val="00556139"/>
    <w:rsid w:val="0056249A"/>
    <w:rsid w:val="005D02CE"/>
    <w:rsid w:val="005E3E46"/>
    <w:rsid w:val="006117D0"/>
    <w:rsid w:val="00656770"/>
    <w:rsid w:val="00770987"/>
    <w:rsid w:val="00782D61"/>
    <w:rsid w:val="007A68D5"/>
    <w:rsid w:val="007B7008"/>
    <w:rsid w:val="007F71E8"/>
    <w:rsid w:val="00824B77"/>
    <w:rsid w:val="00842160"/>
    <w:rsid w:val="00880748"/>
    <w:rsid w:val="0089763E"/>
    <w:rsid w:val="00933049"/>
    <w:rsid w:val="009436FC"/>
    <w:rsid w:val="009A13FB"/>
    <w:rsid w:val="009B1569"/>
    <w:rsid w:val="009B5B2F"/>
    <w:rsid w:val="009D6870"/>
    <w:rsid w:val="00A076CF"/>
    <w:rsid w:val="00A8795D"/>
    <w:rsid w:val="00AA3919"/>
    <w:rsid w:val="00AB714A"/>
    <w:rsid w:val="00B029FD"/>
    <w:rsid w:val="00B16C81"/>
    <w:rsid w:val="00B27576"/>
    <w:rsid w:val="00BA6CC2"/>
    <w:rsid w:val="00BC7D4A"/>
    <w:rsid w:val="00BD54BA"/>
    <w:rsid w:val="00C127C1"/>
    <w:rsid w:val="00C2613D"/>
    <w:rsid w:val="00D177C9"/>
    <w:rsid w:val="00D728CF"/>
    <w:rsid w:val="00D76E27"/>
    <w:rsid w:val="00DC4424"/>
    <w:rsid w:val="00DC681A"/>
    <w:rsid w:val="00DF1A25"/>
    <w:rsid w:val="00E55898"/>
    <w:rsid w:val="00E6462E"/>
    <w:rsid w:val="00EA043D"/>
    <w:rsid w:val="00EA3636"/>
    <w:rsid w:val="00EA58FF"/>
    <w:rsid w:val="00ED112F"/>
    <w:rsid w:val="00EF5E81"/>
    <w:rsid w:val="00F259DE"/>
    <w:rsid w:val="00F65815"/>
    <w:rsid w:val="00FA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0F80"/>
  <w15:chartTrackingRefBased/>
  <w15:docId w15:val="{BB6E4D1B-9CF3-4ED9-BCFF-BF6ED754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34"/>
    <w:pPr>
      <w:keepNext/>
      <w:keepLines/>
      <w:numPr>
        <w:numId w:val="5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234"/>
    <w:pPr>
      <w:keepNext/>
      <w:keepLines/>
      <w:numPr>
        <w:ilvl w:val="1"/>
        <w:numId w:val="5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34"/>
    <w:pPr>
      <w:keepNext/>
      <w:keepLines/>
      <w:numPr>
        <w:ilvl w:val="2"/>
        <w:numId w:val="5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34"/>
    <w:pPr>
      <w:keepNext/>
      <w:keepLines/>
      <w:numPr>
        <w:ilvl w:val="3"/>
        <w:numId w:val="5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34"/>
    <w:pPr>
      <w:keepNext/>
      <w:keepLines/>
      <w:numPr>
        <w:ilvl w:val="4"/>
        <w:numId w:val="5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34"/>
    <w:pPr>
      <w:keepNext/>
      <w:keepLines/>
      <w:numPr>
        <w:ilvl w:val="5"/>
        <w:numId w:val="5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34"/>
    <w:pPr>
      <w:keepNext/>
      <w:keepLines/>
      <w:numPr>
        <w:ilvl w:val="6"/>
        <w:numId w:val="5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34"/>
    <w:pPr>
      <w:keepNext/>
      <w:keepLines/>
      <w:numPr>
        <w:ilvl w:val="7"/>
        <w:numId w:val="5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34"/>
    <w:pPr>
      <w:keepNext/>
      <w:keepLines/>
      <w:numPr>
        <w:ilvl w:val="8"/>
        <w:numId w:val="5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DE"/>
      <w14:ligatures w14:val="none"/>
    </w:rPr>
  </w:style>
  <w:style w:type="character" w:styleId="Strong">
    <w:name w:val="Strong"/>
    <w:basedOn w:val="DefaultParagraphFont"/>
    <w:uiPriority w:val="22"/>
    <w:qFormat/>
    <w:rsid w:val="004E235F"/>
    <w:rPr>
      <w:b/>
      <w:bCs/>
    </w:rPr>
  </w:style>
  <w:style w:type="character" w:styleId="Hyperlink">
    <w:name w:val="Hyperlink"/>
    <w:basedOn w:val="DefaultParagraphFont"/>
    <w:uiPriority w:val="99"/>
    <w:unhideWhenUsed/>
    <w:rsid w:val="00286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7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ec.europa.eu/eurostat/databrowser/view/teicp270/default/table?lang=en&amp;category=t_prc.t_prc_hp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 HH</dc:creator>
  <cp:keywords/>
  <dc:description/>
  <cp:lastModifiedBy>Shrek HH</cp:lastModifiedBy>
  <cp:revision>36</cp:revision>
  <dcterms:created xsi:type="dcterms:W3CDTF">2026-03-03T19:57:00Z</dcterms:created>
  <dcterms:modified xsi:type="dcterms:W3CDTF">2026-03-06T21:25:00Z</dcterms:modified>
</cp:coreProperties>
</file>