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F93D9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Q1 Sales Proposal 2025</w:t>
      </w:r>
    </w:p>
    <w:p w14:paraId="78CA0380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74FEDF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This document outlines the sales strategy for Q1, including lead generation,</w:t>
      </w:r>
    </w:p>
    <w:p w14:paraId="5387B0E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funnel optimization, target regions, and revenue expectations. </w:t>
      </w:r>
    </w:p>
    <w:p w14:paraId="039D77D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Primary focus: B2B expansion, outbound calling, and customer retention plans.</w:t>
      </w:r>
    </w:p>
    <w:p w14:paraId="359FE986">
      <w:pPr>
        <w:jc w:val="both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</w:p>
    <w:sectPr>
      <w:pgSz w:w="11906" w:h="16838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AF3B1B"/>
    <w:rsid w:val="16E97227"/>
    <w:rsid w:val="6FAF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2025-11-15T12:07:00Z</dcterms:created>
  <dc:creator>Rekha R</dc:creator>
  <cp:lastModifiedBy>Rekha R</cp:lastModifiedBy>
  <dcterms:modified xsi:type="dcterms:W3CDTF">2025-11-15T12:08:55Z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B6F0997F083247C693AB76297C223CEF_11</vt:lpwstr>
  </property>
</Properties>
</file>