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Грузополучатель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{{QTY_SHT}}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×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{{TOTAL_INCL}}</w:t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 xml:space="preserve">Товарная накладная имеет приложение на {{PAGES_COUNT}} листах и содержит {{ITEMS_COUNT}}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>—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сумму: {{TOTAL_RUB}} руб. {{TOTAL_KOP}} коп. ({{AMOUNT_WORDS}})</w:t>
            </w:r>
          </w:p>
          <w:p>
            <w:pPr>
              <w:pStyle w:val="Normal"/>
              <w:spacing w:before="400" w:after="0"/>
              <w:ind w:start="57" w:end="57"/>
              <w:rPr/>
            </w:pPr>
            <w:r>
              <w:rPr>
                <w:szCs w:val="20"/>
              </w:rPr>
              <w:t xml:space="preserve">Отпуск разрешил  генеральный директор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Главный (старший) бухгалтер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Отпуск груза произвел  начальник производства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{{PROD_HEAD}}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{{SUPPLY_ID}} от {{DOC_DATE_FULL}}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{{ISSUED_BY}}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 водитель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