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Essai</w:t>
      </w:r>
      <w:r>
        <w:t xml:space="preserve"> </w:t>
      </w:r>
      <w:r>
        <w:t xml:space="preserve">clinique</w:t>
      </w:r>
      <w:r>
        <w:t xml:space="preserve"> </w:t>
      </w:r>
      <w:r>
        <w:t xml:space="preserve">de</w:t>
      </w:r>
      <w:r>
        <w:t xml:space="preserve"> </w:t>
      </w:r>
      <w:r>
        <w:t xml:space="preserve">médicament</w:t>
      </w:r>
      <w:r>
        <w:t xml:space="preserve"> </w:t>
      </w:r>
      <w:r>
        <w:t xml:space="preserve">sur</w:t>
      </w:r>
      <w:r>
        <w:t xml:space="preserve"> </w:t>
      </w:r>
      <w:r>
        <w:t xml:space="preserve">la</w:t>
      </w:r>
      <w:r>
        <w:t xml:space="preserve"> </w:t>
      </w:r>
      <w:r>
        <w:t xml:space="preserve">cholangite</w:t>
      </w:r>
      <w:r>
        <w:t xml:space="preserve"> </w:t>
      </w:r>
      <w:r>
        <w:t xml:space="preserve">biliaire</w:t>
      </w:r>
      <w:r>
        <w:t xml:space="preserve"> </w:t>
      </w:r>
      <w:r>
        <w:t xml:space="preserve">primitive</w:t>
      </w:r>
    </w:p>
    <w:bookmarkStart w:id="20" w:name="contexte-des-données"/>
    <w:p>
      <w:pPr>
        <w:pStyle w:val="Heading1"/>
      </w:pPr>
      <w:r>
        <w:t xml:space="preserve">Contexte des données</w:t>
      </w:r>
    </w:p>
    <w:p>
      <w:pPr>
        <w:pStyle w:val="FirstParagraph"/>
      </w:pPr>
      <w:r>
        <w:t xml:space="preserve">La cholangite biliaire primitive (CBP), nouvelle dénomination de la cirrhose biliaire primitive, est une maladie cholestatique auto-immune et représente la première cause de cholestase (ralentissement de la circulation biliaire) intra-hépatique. Elle se caractérise par une destruction des canaux biliaires de petite taille liée à une infiltration lymphocytaire. La prévalence de la CBP est de 10 à 40 pour 100 000 habitants. La CBP affecte préférentiellement la femme (dans 90 % des cas) d’un âge médian de 55 ans au diagnostic. Ainsi, chez la femme de plus de 40 ans, la prévalence de la CBP est de 1 pour 1 000. Les signes biologiques de la maladie sont les suivants : il existe une anomalie portant sur les phosphatases alcalines, les gamma-GT, ou les transaminases. Ces enzymes sont des protéines présentes dans le foie. Lorsque la sécrétion biliaire est anormale du fait de l’inflammation des voies biliaires, ces enzymes sont fabriquées en excès par le foie et déversées dans le sang, si bien que leur concentration sanguine augmente au-dessus des valeurs normales.</w:t>
      </w:r>
    </w:p>
    <w:p>
      <w:pPr>
        <w:pStyle w:val="BodyText"/>
      </w:pPr>
      <w:r>
        <w:t xml:space="preserve">Le jeu de données fourni ici suit un essai clinique randomisé ayant eu lieu entre 1974 et 1986 pour tester l’effet de l’utilisation d’un médicament (la D-penicillamine) sur la CBP. Il porte sur 312 patients pour lesquels la majorité de biomarqueurs potentiels est connue. Des données indépendantes de 106 patients supplémentaires ont été ajoutées afin de valider le modèle.</w:t>
      </w:r>
    </w:p>
    <w:bookmarkEnd w:id="20"/>
    <w:bookmarkStart w:id="22" w:name="descriptif-des-données"/>
    <w:p>
      <w:pPr>
        <w:pStyle w:val="Heading1"/>
      </w:pPr>
      <w:r>
        <w:t xml:space="preserve">Descriptif des données</w:t>
      </w:r>
    </w:p>
    <w:p>
      <w:pPr>
        <w:pStyle w:val="FirstParagraph"/>
      </w:pPr>
      <w:r>
        <w:t xml:space="preserve">20 colonnes et 418 lignes :</w:t>
      </w:r>
    </w:p>
    <w:tbl>
      <w:tblPr>
        <w:tblStyle w:val="Table"/>
        <w:tblW w:type="pct" w:w="5000"/>
        <w:tblLayout w:type="fixed"/>
        <w:tblLook w:firstRow="1" w:lastRow="0" w:firstColumn="0" w:lastColumn="0" w:noHBand="0" w:noVBand="0" w:val="0020"/>
      </w:tblPr>
      <w:tblGrid>
        <w:gridCol w:w="1131"/>
        <w:gridCol w:w="1414"/>
        <w:gridCol w:w="5374"/>
      </w:tblGrid>
      <w:tr>
        <w:trPr>
          <w:tblHeader w:val="on"/>
        </w:trPr>
        <w:tc>
          <w:tcPr/>
          <w:p>
            <w:pPr>
              <w:pStyle w:val="Compact"/>
              <w:jc w:val="left"/>
            </w:pPr>
            <w:r>
              <w:t xml:space="preserve">Nom de la colonne</w:t>
            </w:r>
          </w:p>
        </w:tc>
        <w:tc>
          <w:tcPr/>
          <w:p>
            <w:pPr>
              <w:pStyle w:val="Compact"/>
              <w:jc w:val="left"/>
            </w:pPr>
            <w:r>
              <w:t xml:space="preserve">Type de variable</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t xml:space="preserve">Nombre entier</w:t>
            </w:r>
          </w:p>
        </w:tc>
        <w:tc>
          <w:tcPr/>
          <w:p>
            <w:pPr>
              <w:pStyle w:val="Compact"/>
              <w:jc w:val="left"/>
            </w:pPr>
            <w:r>
              <w:t xml:space="preserve">Numéro d’identification du patient</w:t>
            </w:r>
          </w:p>
        </w:tc>
      </w:tr>
      <w:tr>
        <w:tc>
          <w:tcPr/>
          <w:p>
            <w:pPr>
              <w:pStyle w:val="Compact"/>
              <w:jc w:val="left"/>
            </w:pPr>
            <w:r>
              <w:rPr>
                <w:rStyle w:val="VerbatimChar"/>
              </w:rPr>
              <w:t xml:space="preserve">N_Days</w:t>
            </w:r>
          </w:p>
        </w:tc>
        <w:tc>
          <w:tcPr/>
          <w:p>
            <w:pPr>
              <w:pStyle w:val="Compact"/>
              <w:jc w:val="left"/>
            </w:pPr>
            <w:r>
              <w:t xml:space="preserve">Nombre entier</w:t>
            </w:r>
          </w:p>
        </w:tc>
        <w:tc>
          <w:tcPr/>
          <w:p>
            <w:pPr>
              <w:pStyle w:val="Compact"/>
              <w:jc w:val="left"/>
            </w:pPr>
            <w:r>
              <w:t xml:space="preserve">Nombre de jours entre l’entrée dans l’étude et soit le décés, la greffe de foie ou la fin de l’étude en juillet 1986</w:t>
            </w:r>
          </w:p>
        </w:tc>
      </w:tr>
      <w:tr>
        <w:tc>
          <w:tcPr/>
          <w:p>
            <w:pPr>
              <w:pStyle w:val="Compact"/>
              <w:jc w:val="left"/>
            </w:pPr>
            <w:r>
              <w:rPr>
                <w:rStyle w:val="VerbatimChar"/>
              </w:rPr>
              <w:t xml:space="preserve">Status</w:t>
            </w:r>
          </w:p>
        </w:tc>
        <w:tc>
          <w:tcPr/>
          <w:p>
            <w:pPr>
              <w:pStyle w:val="Compact"/>
              <w:jc w:val="left"/>
            </w:pPr>
            <w:r>
              <w:t xml:space="preserve">Chaîne de caractères</w:t>
            </w:r>
          </w:p>
        </w:tc>
        <w:tc>
          <w:tcPr/>
          <w:p>
            <w:pPr>
              <w:pStyle w:val="Compact"/>
              <w:jc w:val="left"/>
            </w:pPr>
            <w:r>
              <w:t xml:space="preserve">Statut du patient :</w:t>
            </w:r>
            <w:r>
              <w:t xml:space="preserve"> </w:t>
            </w:r>
            <w:r>
              <w:rPr>
                <w:rStyle w:val="VerbatimChar"/>
              </w:rPr>
              <w:t xml:space="preserve">C</w:t>
            </w:r>
            <w:r>
              <w:t xml:space="preserve"> </w:t>
            </w:r>
            <w:r>
              <w:t xml:space="preserve">= sortie de l’étude (= survie),</w:t>
            </w:r>
            <w:r>
              <w:t xml:space="preserve"> </w:t>
            </w:r>
            <w:r>
              <w:rPr>
                <w:rStyle w:val="VerbatimChar"/>
              </w:rPr>
              <w:t xml:space="preserve">CL</w:t>
            </w:r>
            <w:r>
              <w:t xml:space="preserve"> </w:t>
            </w:r>
            <w:r>
              <w:t xml:space="preserve">= sortie de l’étude du fait d’une greffe de foie,</w:t>
            </w:r>
            <w:r>
              <w:t xml:space="preserve"> </w:t>
            </w:r>
            <w:r>
              <w:rPr>
                <w:rStyle w:val="VerbatimChar"/>
              </w:rPr>
              <w:t xml:space="preserve">D</w:t>
            </w:r>
            <w:r>
              <w:t xml:space="preserve"> </w:t>
            </w:r>
            <w:r>
              <w:t xml:space="preserve">= décès</w:t>
            </w:r>
          </w:p>
        </w:tc>
      </w:tr>
      <w:tr>
        <w:tc>
          <w:tcPr/>
          <w:p>
            <w:pPr>
              <w:pStyle w:val="Compact"/>
              <w:jc w:val="left"/>
            </w:pPr>
            <w:r>
              <w:rPr>
                <w:rStyle w:val="VerbatimChar"/>
              </w:rPr>
              <w:t xml:space="preserve">Drug</w:t>
            </w:r>
          </w:p>
        </w:tc>
        <w:tc>
          <w:tcPr/>
          <w:p>
            <w:pPr>
              <w:pStyle w:val="Compact"/>
              <w:jc w:val="left"/>
            </w:pPr>
            <w:r>
              <w:t xml:space="preserve">Chaîne de caractères</w:t>
            </w:r>
          </w:p>
        </w:tc>
        <w:tc>
          <w:tcPr/>
          <w:p>
            <w:pPr>
              <w:pStyle w:val="Compact"/>
              <w:jc w:val="left"/>
            </w:pPr>
            <w:r>
              <w:t xml:space="preserve">Traitement administré durant l’essai clinique :</w:t>
            </w:r>
            <w:r>
              <w:t xml:space="preserve"> </w:t>
            </w:r>
            <w:r>
              <w:rPr>
                <w:rStyle w:val="VerbatimChar"/>
              </w:rPr>
              <w:t xml:space="preserve">D-penicillamine</w:t>
            </w:r>
            <w:r>
              <w:t xml:space="preserve"> </w:t>
            </w:r>
            <w:r>
              <w:t xml:space="preserve">= D-penicillamine,</w:t>
            </w:r>
            <w:r>
              <w:t xml:space="preserve"> </w:t>
            </w:r>
            <w:r>
              <w:rPr>
                <w:rStyle w:val="VerbatimChar"/>
              </w:rPr>
              <w:t xml:space="preserve">Placebo</w:t>
            </w:r>
            <w:r>
              <w:t xml:space="preserve"> </w:t>
            </w:r>
            <w:r>
              <w:t xml:space="preserve">= placebo</w:t>
            </w:r>
          </w:p>
        </w:tc>
      </w:tr>
      <w:tr>
        <w:tc>
          <w:tcPr/>
          <w:p>
            <w:pPr>
              <w:pStyle w:val="Compact"/>
              <w:jc w:val="left"/>
            </w:pPr>
            <w:r>
              <w:rPr>
                <w:rStyle w:val="VerbatimChar"/>
              </w:rPr>
              <w:t xml:space="preserve">Age</w:t>
            </w:r>
          </w:p>
        </w:tc>
        <w:tc>
          <w:tcPr/>
          <w:p>
            <w:pPr>
              <w:pStyle w:val="Compact"/>
              <w:jc w:val="left"/>
            </w:pPr>
            <w:r>
              <w:t xml:space="preserve">Nombre entier</w:t>
            </w:r>
          </w:p>
        </w:tc>
        <w:tc>
          <w:tcPr/>
          <w:p>
            <w:pPr>
              <w:pStyle w:val="Compact"/>
              <w:jc w:val="left"/>
            </w:pPr>
            <w:r>
              <w:t xml:space="preserve">Âge en jours</w:t>
            </w:r>
          </w:p>
        </w:tc>
      </w:tr>
      <w:tr>
        <w:tc>
          <w:tcPr/>
          <w:p>
            <w:pPr>
              <w:pStyle w:val="Compact"/>
              <w:jc w:val="left"/>
            </w:pPr>
            <w:r>
              <w:rPr>
                <w:rStyle w:val="VerbatimChar"/>
              </w:rPr>
              <w:t xml:space="preserve">Sex</w:t>
            </w:r>
          </w:p>
        </w:tc>
        <w:tc>
          <w:tcPr/>
          <w:p>
            <w:pPr>
              <w:pStyle w:val="Compact"/>
              <w:jc w:val="left"/>
            </w:pPr>
            <w:r>
              <w:t xml:space="preserve">Chaîne de caractères</w:t>
            </w:r>
          </w:p>
        </w:tc>
        <w:tc>
          <w:tcPr/>
          <w:p>
            <w:pPr>
              <w:pStyle w:val="Compact"/>
              <w:jc w:val="left"/>
            </w:pPr>
            <w:r>
              <w:t xml:space="preserve">Sexe biologique :</w:t>
            </w:r>
            <w:r>
              <w:t xml:space="preserve"> </w:t>
            </w:r>
            <w:r>
              <w:rPr>
                <w:rStyle w:val="VerbatimChar"/>
              </w:rPr>
              <w:t xml:space="preserve">F</w:t>
            </w:r>
            <w:r>
              <w:t xml:space="preserve"> </w:t>
            </w:r>
            <w:r>
              <w:t xml:space="preserve">= femme,</w:t>
            </w:r>
            <w:r>
              <w:t xml:space="preserve"> </w:t>
            </w:r>
            <w:r>
              <w:rPr>
                <w:rStyle w:val="VerbatimChar"/>
              </w:rPr>
              <w:t xml:space="preserve">M</w:t>
            </w:r>
            <w:r>
              <w:t xml:space="preserve"> </w:t>
            </w:r>
            <w:r>
              <w:t xml:space="preserve">= homme</w:t>
            </w:r>
          </w:p>
        </w:tc>
      </w:tr>
      <w:tr>
        <w:tc>
          <w:tcPr/>
          <w:p>
            <w:pPr>
              <w:pStyle w:val="Compact"/>
              <w:jc w:val="left"/>
            </w:pPr>
            <w:r>
              <w:rPr>
                <w:rStyle w:val="VerbatimChar"/>
              </w:rPr>
              <w:t xml:space="preserve">Ascites</w:t>
            </w:r>
          </w:p>
        </w:tc>
        <w:tc>
          <w:tcPr/>
          <w:p>
            <w:pPr>
              <w:pStyle w:val="Compact"/>
              <w:jc w:val="left"/>
            </w:pPr>
            <w:r>
              <w:t xml:space="preserve">Chaîne de caractères</w:t>
            </w:r>
          </w:p>
        </w:tc>
        <w:tc>
          <w:tcPr/>
          <w:p>
            <w:pPr>
              <w:pStyle w:val="Compact"/>
              <w:jc w:val="left"/>
            </w:pPr>
            <w:r>
              <w:t xml:space="preserve">Présence d’ascites, épanchement de liquide dans l’abdomen :</w:t>
            </w:r>
            <w:r>
              <w:t xml:space="preserve"> </w:t>
            </w:r>
            <w:r>
              <w:rPr>
                <w:rStyle w:val="VerbatimChar"/>
              </w:rPr>
              <w:t xml:space="preserve">N</w:t>
            </w:r>
            <w:r>
              <w:t xml:space="preserve"> </w:t>
            </w:r>
            <w:r>
              <w:t xml:space="preserve">= non,</w:t>
            </w:r>
            <w:r>
              <w:t xml:space="preserve"> </w:t>
            </w:r>
            <w:r>
              <w:rPr>
                <w:rStyle w:val="VerbatimChar"/>
              </w:rPr>
              <w:t xml:space="preserve">Y</w:t>
            </w:r>
            <w:r>
              <w:t xml:space="preserve"> </w:t>
            </w:r>
            <w:r>
              <w:t xml:space="preserve">= oui</w:t>
            </w:r>
          </w:p>
        </w:tc>
      </w:tr>
      <w:tr>
        <w:tc>
          <w:tcPr/>
          <w:p>
            <w:pPr>
              <w:pStyle w:val="Compact"/>
              <w:jc w:val="left"/>
            </w:pPr>
            <w:r>
              <w:rPr>
                <w:rStyle w:val="VerbatimChar"/>
              </w:rPr>
              <w:t xml:space="preserve">Hepatomegaly</w:t>
            </w:r>
          </w:p>
        </w:tc>
        <w:tc>
          <w:tcPr/>
          <w:p>
            <w:pPr>
              <w:pStyle w:val="Compact"/>
              <w:jc w:val="left"/>
            </w:pPr>
            <w:r>
              <w:t xml:space="preserve">Chaîne de caractères</w:t>
            </w:r>
          </w:p>
        </w:tc>
        <w:tc>
          <w:tcPr/>
          <w:p>
            <w:pPr>
              <w:pStyle w:val="Compact"/>
              <w:jc w:val="left"/>
            </w:pPr>
            <w:r>
              <w:t xml:space="preserve">Présence d’hépatomégalie, c’est-à-dire d’hypertrophie du foie :</w:t>
            </w:r>
            <w:r>
              <w:t xml:space="preserve"> </w:t>
            </w:r>
            <w:r>
              <w:rPr>
                <w:rStyle w:val="VerbatimChar"/>
              </w:rPr>
              <w:t xml:space="preserve">N</w:t>
            </w:r>
            <w:r>
              <w:t xml:space="preserve"> </w:t>
            </w:r>
            <w:r>
              <w:t xml:space="preserve">= non,</w:t>
            </w:r>
            <w:r>
              <w:t xml:space="preserve"> </w:t>
            </w:r>
            <w:r>
              <w:rPr>
                <w:rStyle w:val="VerbatimChar"/>
              </w:rPr>
              <w:t xml:space="preserve">Y</w:t>
            </w:r>
            <w:r>
              <w:t xml:space="preserve"> </w:t>
            </w:r>
            <w:r>
              <w:t xml:space="preserve">= oui</w:t>
            </w:r>
          </w:p>
        </w:tc>
      </w:tr>
      <w:tr>
        <w:tc>
          <w:tcPr/>
          <w:p>
            <w:pPr>
              <w:pStyle w:val="Compact"/>
              <w:jc w:val="left"/>
            </w:pPr>
            <w:r>
              <w:rPr>
                <w:rStyle w:val="VerbatimChar"/>
              </w:rPr>
              <w:t xml:space="preserve">Spiders</w:t>
            </w:r>
          </w:p>
        </w:tc>
        <w:tc>
          <w:tcPr/>
          <w:p>
            <w:pPr>
              <w:pStyle w:val="Compact"/>
              <w:jc w:val="left"/>
            </w:pPr>
            <w:r>
              <w:t xml:space="preserve">Chaîne de caractères</w:t>
            </w:r>
          </w:p>
        </w:tc>
        <w:tc>
          <w:tcPr/>
          <w:p>
            <w:pPr>
              <w:pStyle w:val="Compact"/>
              <w:jc w:val="left"/>
            </w:pPr>
            <w:r>
              <w:t xml:space="preserve">Présence d’angiome stellaire (</w:t>
            </w:r>
            <w:r>
              <w:rPr>
                <w:i/>
                <w:iCs/>
              </w:rPr>
              <w:t xml:space="preserve">spiders</w:t>
            </w:r>
            <w:r>
              <w:t xml:space="preserve"> </w:t>
            </w:r>
            <w:r>
              <w:t xml:space="preserve">en anglais) :</w:t>
            </w:r>
            <w:r>
              <w:t xml:space="preserve"> </w:t>
            </w:r>
            <w:r>
              <w:rPr>
                <w:rStyle w:val="VerbatimChar"/>
              </w:rPr>
              <w:t xml:space="preserve">N</w:t>
            </w:r>
            <w:r>
              <w:t xml:space="preserve"> </w:t>
            </w:r>
            <w:r>
              <w:t xml:space="preserve">= non,</w:t>
            </w:r>
            <w:r>
              <w:t xml:space="preserve"> </w:t>
            </w:r>
            <w:r>
              <w:rPr>
                <w:rStyle w:val="VerbatimChar"/>
              </w:rPr>
              <w:t xml:space="preserve">Y</w:t>
            </w:r>
            <w:r>
              <w:t xml:space="preserve"> </w:t>
            </w:r>
            <w:r>
              <w:t xml:space="preserve">= oui</w:t>
            </w:r>
          </w:p>
        </w:tc>
      </w:tr>
      <w:tr>
        <w:tc>
          <w:tcPr/>
          <w:p>
            <w:pPr>
              <w:pStyle w:val="Compact"/>
              <w:jc w:val="left"/>
            </w:pPr>
            <w:r>
              <w:rPr>
                <w:rStyle w:val="VerbatimChar"/>
              </w:rPr>
              <w:t xml:space="preserve">Edema</w:t>
            </w:r>
          </w:p>
        </w:tc>
        <w:tc>
          <w:tcPr/>
          <w:p>
            <w:pPr>
              <w:pStyle w:val="Compact"/>
              <w:jc w:val="left"/>
            </w:pPr>
            <w:r>
              <w:t xml:space="preserve">Chaîne de caractères</w:t>
            </w:r>
          </w:p>
        </w:tc>
        <w:tc>
          <w:tcPr/>
          <w:p>
            <w:pPr>
              <w:pStyle w:val="Compact"/>
              <w:jc w:val="left"/>
            </w:pPr>
            <w:r>
              <w:t xml:space="preserve">Présence d’œdème :</w:t>
            </w:r>
            <w:r>
              <w:t xml:space="preserve"> </w:t>
            </w:r>
            <w:r>
              <w:rPr>
                <w:rStyle w:val="VerbatimChar"/>
              </w:rPr>
              <w:t xml:space="preserve">N</w:t>
            </w:r>
            <w:r>
              <w:t xml:space="preserve"> </w:t>
            </w:r>
            <w:r>
              <w:t xml:space="preserve">= non,</w:t>
            </w:r>
            <w:r>
              <w:t xml:space="preserve"> </w:t>
            </w:r>
            <w:r>
              <w:rPr>
                <w:rStyle w:val="VerbatimChar"/>
              </w:rPr>
              <w:t xml:space="preserve">Y</w:t>
            </w:r>
            <w:r>
              <w:t xml:space="preserve"> </w:t>
            </w:r>
            <w:r>
              <w:t xml:space="preserve">= oui</w:t>
            </w:r>
          </w:p>
        </w:tc>
      </w:tr>
      <w:tr>
        <w:tc>
          <w:tcPr/>
          <w:p>
            <w:pPr>
              <w:pStyle w:val="Compact"/>
              <w:jc w:val="left"/>
            </w:pPr>
            <w:r>
              <w:rPr>
                <w:rStyle w:val="VerbatimChar"/>
              </w:rPr>
              <w:t xml:space="preserve">Bilirubin</w:t>
            </w:r>
          </w:p>
        </w:tc>
        <w:tc>
          <w:tcPr/>
          <w:p>
            <w:pPr>
              <w:pStyle w:val="Compact"/>
              <w:jc w:val="left"/>
            </w:pPr>
            <w:r>
              <w:t xml:space="preserve">Nombre réel</w:t>
            </w:r>
          </w:p>
        </w:tc>
        <w:tc>
          <w:tcPr/>
          <w:p>
            <w:pPr>
              <w:pStyle w:val="Compact"/>
              <w:jc w:val="left"/>
            </w:pPr>
            <w:r>
              <w:t xml:space="preserve">Bilirubine sérique en mg·dL⁻¹</w:t>
            </w:r>
          </w:p>
        </w:tc>
      </w:tr>
      <w:tr>
        <w:tc>
          <w:tcPr/>
          <w:p>
            <w:pPr>
              <w:pStyle w:val="Compact"/>
              <w:jc w:val="left"/>
            </w:pPr>
            <w:r>
              <w:rPr>
                <w:rStyle w:val="VerbatimChar"/>
              </w:rPr>
              <w:t xml:space="preserve">Cholesterol</w:t>
            </w:r>
          </w:p>
        </w:tc>
        <w:tc>
          <w:tcPr/>
          <w:p>
            <w:pPr>
              <w:pStyle w:val="Compact"/>
              <w:jc w:val="left"/>
            </w:pPr>
            <w:r>
              <w:t xml:space="preserve">Nombre entier</w:t>
            </w:r>
          </w:p>
        </w:tc>
        <w:tc>
          <w:tcPr/>
          <w:p>
            <w:pPr>
              <w:pStyle w:val="Compact"/>
              <w:jc w:val="left"/>
            </w:pPr>
            <w:r>
              <w:t xml:space="preserve">Cholestérol sérique en mg·dL⁻¹</w:t>
            </w:r>
          </w:p>
        </w:tc>
      </w:tr>
      <w:tr>
        <w:tc>
          <w:tcPr/>
          <w:p>
            <w:pPr>
              <w:pStyle w:val="Compact"/>
              <w:jc w:val="left"/>
            </w:pPr>
            <w:r>
              <w:rPr>
                <w:rStyle w:val="VerbatimChar"/>
              </w:rPr>
              <w:t xml:space="preserve">Albumin</w:t>
            </w:r>
          </w:p>
        </w:tc>
        <w:tc>
          <w:tcPr/>
          <w:p>
            <w:pPr>
              <w:pStyle w:val="Compact"/>
              <w:jc w:val="left"/>
            </w:pPr>
            <w:r>
              <w:t xml:space="preserve">Nombre réel</w:t>
            </w:r>
          </w:p>
        </w:tc>
        <w:tc>
          <w:tcPr/>
          <w:p>
            <w:pPr>
              <w:pStyle w:val="Compact"/>
              <w:jc w:val="left"/>
            </w:pPr>
            <w:r>
              <w:t xml:space="preserve">Albumine en mg·dL⁻¹</w:t>
            </w:r>
          </w:p>
        </w:tc>
      </w:tr>
      <w:tr>
        <w:tc>
          <w:tcPr/>
          <w:p>
            <w:pPr>
              <w:pStyle w:val="Compact"/>
              <w:jc w:val="left"/>
            </w:pPr>
            <w:r>
              <w:rPr>
                <w:rStyle w:val="VerbatimChar"/>
              </w:rPr>
              <w:t xml:space="preserve">Copper</w:t>
            </w:r>
          </w:p>
        </w:tc>
        <w:tc>
          <w:tcPr/>
          <w:p>
            <w:pPr>
              <w:pStyle w:val="Compact"/>
              <w:jc w:val="left"/>
            </w:pPr>
            <w:r>
              <w:t xml:space="preserve">Nombre entier</w:t>
            </w:r>
          </w:p>
        </w:tc>
        <w:tc>
          <w:tcPr/>
          <w:p>
            <w:pPr>
              <w:pStyle w:val="Compact"/>
              <w:jc w:val="left"/>
            </w:pPr>
            <w:r>
              <w:t xml:space="preserve">Cuivre dans l’urine en mg·dL⁻¹</w:t>
            </w:r>
          </w:p>
        </w:tc>
      </w:tr>
      <w:tr>
        <w:tc>
          <w:tcPr/>
          <w:p>
            <w:pPr>
              <w:pStyle w:val="Compact"/>
              <w:jc w:val="left"/>
            </w:pPr>
            <w:r>
              <w:rPr>
                <w:rStyle w:val="VerbatimChar"/>
              </w:rPr>
              <w:t xml:space="preserve">Alk_Phos</w:t>
            </w:r>
          </w:p>
        </w:tc>
        <w:tc>
          <w:tcPr/>
          <w:p>
            <w:pPr>
              <w:pStyle w:val="Compact"/>
              <w:jc w:val="left"/>
            </w:pPr>
            <w:r>
              <w:t xml:space="preserve">Nombre réel</w:t>
            </w:r>
          </w:p>
        </w:tc>
        <w:tc>
          <w:tcPr/>
          <w:p>
            <w:pPr>
              <w:pStyle w:val="Compact"/>
              <w:jc w:val="left"/>
            </w:pPr>
            <w:r>
              <w:t xml:space="preserve">Phosphatase alcaline en unité arbitraire·L⁻¹</w:t>
            </w:r>
          </w:p>
        </w:tc>
      </w:tr>
      <w:tr>
        <w:tc>
          <w:tcPr/>
          <w:p>
            <w:pPr>
              <w:pStyle w:val="Compact"/>
              <w:jc w:val="left"/>
            </w:pPr>
            <w:r>
              <w:rPr>
                <w:rStyle w:val="VerbatimChar"/>
              </w:rPr>
              <w:t xml:space="preserve">SGOT</w:t>
            </w:r>
          </w:p>
        </w:tc>
        <w:tc>
          <w:tcPr/>
          <w:p>
            <w:pPr>
              <w:pStyle w:val="Compact"/>
              <w:jc w:val="left"/>
            </w:pPr>
            <w:r>
              <w:t xml:space="preserve">Nombre réel</w:t>
            </w:r>
          </w:p>
        </w:tc>
        <w:tc>
          <w:tcPr/>
          <w:p>
            <w:pPr>
              <w:pStyle w:val="Compact"/>
              <w:jc w:val="left"/>
            </w:pPr>
            <w:r>
              <w:t xml:space="preserve">Aspartate aminotransférase sérique en unité arbitraire·mL⁻¹(en anglais,</w:t>
            </w:r>
            <w:r>
              <w:t xml:space="preserve"> </w:t>
            </w:r>
            <w:r>
              <w:rPr>
                <w:b/>
                <w:bCs/>
                <w:i/>
                <w:iCs/>
              </w:rPr>
              <w:t xml:space="preserve">s</w:t>
            </w:r>
            <w:r>
              <w:rPr>
                <w:i/>
                <w:iCs/>
              </w:rPr>
              <w:t xml:space="preserve">erum</w:t>
            </w:r>
            <w:r>
              <w:rPr>
                <w:i/>
                <w:iCs/>
              </w:rPr>
              <w:t xml:space="preserve"> </w:t>
            </w:r>
            <w:r>
              <w:t xml:space="preserve">g</w:t>
            </w:r>
            <w:r>
              <w:rPr>
                <w:i/>
                <w:iCs/>
              </w:rPr>
              <w:t xml:space="preserve">lutamic</w:t>
            </w:r>
            <w:r>
              <w:rPr>
                <w:i/>
                <w:iCs/>
              </w:rPr>
              <w:t xml:space="preserve"> </w:t>
            </w:r>
            <w:r>
              <w:t xml:space="preserve">o</w:t>
            </w:r>
            <w:r>
              <w:rPr>
                <w:i/>
                <w:iCs/>
              </w:rPr>
              <w:t xml:space="preserve">xaloacetic</w:t>
            </w:r>
            <w:r>
              <w:rPr>
                <w:i/>
                <w:iCs/>
              </w:rPr>
              <w:t xml:space="preserve"> </w:t>
            </w:r>
            <w:r>
              <w:t xml:space="preserve">t</w:t>
            </w:r>
            <w:r>
              <w:rPr>
                <w:i/>
                <w:iCs/>
              </w:rPr>
              <w:t xml:space="preserve">ransaminase</w:t>
            </w:r>
            <w:r>
              <w:t xml:space="preserve">)</w:t>
            </w:r>
          </w:p>
        </w:tc>
      </w:tr>
      <w:tr>
        <w:tc>
          <w:tcPr/>
          <w:p>
            <w:pPr>
              <w:pStyle w:val="Compact"/>
              <w:jc w:val="left"/>
            </w:pPr>
            <w:r>
              <w:rPr>
                <w:rStyle w:val="VerbatimChar"/>
              </w:rPr>
              <w:t xml:space="preserve">Triglycerides</w:t>
            </w:r>
          </w:p>
        </w:tc>
        <w:tc>
          <w:tcPr/>
          <w:p>
            <w:pPr>
              <w:pStyle w:val="Compact"/>
              <w:jc w:val="left"/>
            </w:pPr>
            <w:r>
              <w:t xml:space="preserve">Nombre entier</w:t>
            </w:r>
          </w:p>
        </w:tc>
        <w:tc>
          <w:tcPr/>
          <w:p>
            <w:pPr>
              <w:pStyle w:val="Compact"/>
              <w:jc w:val="left"/>
            </w:pPr>
            <w:r>
              <w:t xml:space="preserve">Triglycérides en mg·dL⁻¹</w:t>
            </w:r>
          </w:p>
        </w:tc>
      </w:tr>
      <w:tr>
        <w:tc>
          <w:tcPr/>
          <w:p>
            <w:pPr>
              <w:pStyle w:val="Compact"/>
              <w:jc w:val="left"/>
            </w:pPr>
            <w:r>
              <w:rPr>
                <w:rStyle w:val="VerbatimChar"/>
              </w:rPr>
              <w:t xml:space="preserve">Platelets</w:t>
            </w:r>
          </w:p>
        </w:tc>
        <w:tc>
          <w:tcPr/>
          <w:p>
            <w:pPr>
              <w:pStyle w:val="Compact"/>
              <w:jc w:val="left"/>
            </w:pPr>
            <w:r>
              <w:t xml:space="preserve">Nombre entier</w:t>
            </w:r>
          </w:p>
        </w:tc>
        <w:tc>
          <w:tcPr/>
          <w:p>
            <w:pPr>
              <w:pStyle w:val="Compact"/>
              <w:jc w:val="left"/>
            </w:pPr>
            <w:r>
              <w:t xml:space="preserve">Nombre de plaquettes sanguine en milliers·ml⁻³</w:t>
            </w:r>
          </w:p>
        </w:tc>
      </w:tr>
      <w:tr>
        <w:tc>
          <w:tcPr/>
          <w:p>
            <w:pPr>
              <w:pStyle w:val="Compact"/>
              <w:jc w:val="left"/>
            </w:pPr>
            <w:r>
              <w:rPr>
                <w:rStyle w:val="VerbatimChar"/>
              </w:rPr>
              <w:t xml:space="preserve">Prothrombin</w:t>
            </w:r>
          </w:p>
        </w:tc>
        <w:tc>
          <w:tcPr/>
          <w:p>
            <w:pPr>
              <w:pStyle w:val="Compact"/>
              <w:jc w:val="left"/>
            </w:pPr>
            <w:r>
              <w:t xml:space="preserve">Nombre réel</w:t>
            </w:r>
          </w:p>
        </w:tc>
        <w:tc>
          <w:tcPr/>
          <w:p>
            <w:pPr>
              <w:pStyle w:val="Compact"/>
              <w:jc w:val="left"/>
            </w:pPr>
            <w:r>
              <w:t xml:space="preserve">Taux de prothrombine (= indicateur de la coagulation sanguine) exprimé en pourcentage du temps de Quick</w:t>
            </w:r>
          </w:p>
        </w:tc>
      </w:tr>
      <w:tr>
        <w:tc>
          <w:tcPr/>
          <w:p>
            <w:pPr>
              <w:pStyle w:val="Compact"/>
              <w:jc w:val="left"/>
            </w:pPr>
            <w:r>
              <w:rPr>
                <w:rStyle w:val="VerbatimChar"/>
              </w:rPr>
              <w:t xml:space="preserve">Stage</w:t>
            </w:r>
          </w:p>
        </w:tc>
        <w:tc>
          <w:tcPr/>
          <w:p>
            <w:pPr>
              <w:pStyle w:val="Compact"/>
              <w:jc w:val="left"/>
            </w:pPr>
            <w:r>
              <w:t xml:space="preserve">Nombre entier</w:t>
            </w:r>
          </w:p>
        </w:tc>
        <w:tc>
          <w:tcPr/>
          <w:p>
            <w:pPr>
              <w:pStyle w:val="Compact"/>
              <w:jc w:val="left"/>
            </w:pPr>
            <w:r>
              <w:t xml:space="preserve">Stade histologique de la maladie :</w:t>
            </w:r>
            <w:r>
              <w:t xml:space="preserve"> </w:t>
            </w:r>
            <w:r>
              <w:rPr>
                <w:rStyle w:val="VerbatimChar"/>
              </w:rPr>
              <w:t xml:space="preserve">1</w:t>
            </w:r>
            <w:r>
              <w:t xml:space="preserve"> </w:t>
            </w:r>
            <w:r>
              <w:t xml:space="preserve">= stade I,</w:t>
            </w:r>
            <w:r>
              <w:t xml:space="preserve"> </w:t>
            </w:r>
            <w:r>
              <w:rPr>
                <w:rStyle w:val="VerbatimChar"/>
              </w:rPr>
              <w:t xml:space="preserve">2</w:t>
            </w:r>
            <w:r>
              <w:t xml:space="preserve"> </w:t>
            </w:r>
            <w:r>
              <w:t xml:space="preserve">= stade II,</w:t>
            </w:r>
            <w:r>
              <w:t xml:space="preserve"> </w:t>
            </w:r>
            <w:r>
              <w:rPr>
                <w:rStyle w:val="VerbatimChar"/>
              </w:rPr>
              <w:t xml:space="preserve">3</w:t>
            </w:r>
            <w:r>
              <w:t xml:space="preserve"> </w:t>
            </w:r>
            <w:r>
              <w:t xml:space="preserve">= stade III,</w:t>
            </w:r>
            <w:r>
              <w:t xml:space="preserve"> </w:t>
            </w:r>
            <w:r>
              <w:rPr>
                <w:rStyle w:val="VerbatimChar"/>
              </w:rPr>
              <w:t xml:space="preserve">4</w:t>
            </w:r>
            <w:r>
              <w:t xml:space="preserve"> </w:t>
            </w:r>
            <w:r>
              <w:t xml:space="preserve">= stade IV (voir explications ci-dessous)</w:t>
            </w:r>
          </w:p>
        </w:tc>
      </w:tr>
    </w:tbl>
    <w:bookmarkStart w:id="21" w:name="explications-de-la-variable-stage"/>
    <w:p>
      <w:pPr>
        <w:pStyle w:val="Heading2"/>
      </w:pPr>
      <w:r>
        <w:t xml:space="preserve">Explications de la variable</w:t>
      </w:r>
      <w:r>
        <w:t xml:space="preserve"> </w:t>
      </w:r>
      <w:r>
        <w:rPr>
          <w:rStyle w:val="VerbatimChar"/>
        </w:rPr>
        <w:t xml:space="preserve">Stage</w:t>
      </w:r>
    </w:p>
    <w:p>
      <w:pPr>
        <w:pStyle w:val="FirstParagraph"/>
      </w:pPr>
      <w:r>
        <w:t xml:space="preserve">Les stades I, II, III et IV correspondent respectivement aux stade portal, périportal, septal (ou lobulaire), et à la cirrhose. Les stades III et IV correspondent aux stades avancés de la maladie.</w:t>
      </w:r>
    </w:p>
    <w:bookmarkEnd w:id="21"/>
    <w:bookmarkEnd w:id="22"/>
    <w:bookmarkStart w:id="25" w:name="travail-demandé"/>
    <w:p>
      <w:pPr>
        <w:pStyle w:val="Heading1"/>
      </w:pPr>
      <w:r>
        <w:t xml:space="preserve">Travail demandé</w:t>
      </w:r>
    </w:p>
    <w:bookmarkStart w:id="23" w:name="objectifs"/>
    <w:p>
      <w:pPr>
        <w:pStyle w:val="Heading2"/>
      </w:pPr>
      <w:r>
        <w:t xml:space="preserve">Objectifs</w:t>
      </w:r>
    </w:p>
    <w:p>
      <w:pPr>
        <w:pStyle w:val="FirstParagraph"/>
      </w:pPr>
      <w:r>
        <w:t xml:space="preserve">— On pourra chercher à identifier l’efficacité du médicament administré sur la survie des patients</w:t>
      </w:r>
      <w:r>
        <w:t xml:space="preserve"> </w:t>
      </w:r>
      <w:r>
        <w:t xml:space="preserve">— On pourra s’intéresser aux relations entre biomarqueurs et stades histologiques</w:t>
      </w:r>
      <w:r>
        <w:t xml:space="preserve"> </w:t>
      </w:r>
      <w:r>
        <w:t xml:space="preserve">— On pourra s’intéresser aux associations entre biomarqueurs et signes cliniques catégoriels d’une maladie, en association avec les stades histologiques</w:t>
      </w:r>
    </w:p>
    <w:bookmarkEnd w:id="23"/>
    <w:bookmarkStart w:id="24" w:name="exercice-à-rendre"/>
    <w:p>
      <w:pPr>
        <w:pStyle w:val="Heading2"/>
      </w:pPr>
      <w:r>
        <w:t xml:space="preserve">Exercice à rendre</w:t>
      </w:r>
    </w:p>
    <w:p>
      <w:pPr>
        <w:pStyle w:val="FirstParagraph"/>
      </w:pPr>
      <w:r>
        <w:t xml:space="preserve">Vous présenterez vos résultats lors de la dernière séance le 4 avril : 20 minutes de présentation</w:t>
      </w:r>
      <w:r>
        <w:t xml:space="preserve"> </w:t>
      </w:r>
      <w:r>
        <w:t xml:space="preserve">et 10 minutes de questions.</w:t>
      </w:r>
      <w:r>
        <w:t xml:space="preserve"> </w:t>
      </w:r>
      <w:r>
        <w:t xml:space="preserve">Votre présentation devra comporter les parties suivantes :</w:t>
      </w:r>
    </w:p>
    <w:p>
      <w:pPr>
        <w:pStyle w:val="Compact"/>
        <w:numPr>
          <w:ilvl w:val="0"/>
          <w:numId w:val="1001"/>
        </w:numPr>
      </w:pPr>
      <w:r>
        <w:t xml:space="preserve">Présentation du contexte et de la question que vous souhaitez poser et répondre</w:t>
      </w:r>
    </w:p>
    <w:p>
      <w:pPr>
        <w:pStyle w:val="Compact"/>
        <w:numPr>
          <w:ilvl w:val="0"/>
          <w:numId w:val="1001"/>
        </w:numPr>
      </w:pPr>
      <w:r>
        <w:t xml:space="preserve">Présentation de vos données</w:t>
      </w:r>
    </w:p>
    <w:p>
      <w:pPr>
        <w:pStyle w:val="Compact"/>
        <w:numPr>
          <w:ilvl w:val="0"/>
          <w:numId w:val="1001"/>
        </w:numPr>
      </w:pPr>
      <w:r>
        <w:t xml:space="preserve">Présentation de la méthode choisie (pourquoi cette méthode, expliquez succinctement</w:t>
      </w:r>
      <w:r>
        <w:t xml:space="preserve"> </w:t>
      </w:r>
      <w:r>
        <w:t xml:space="preserve">son fonctionnement)</w:t>
      </w:r>
    </w:p>
    <w:p>
      <w:pPr>
        <w:pStyle w:val="Compact"/>
        <w:numPr>
          <w:ilvl w:val="0"/>
          <w:numId w:val="1001"/>
        </w:numPr>
      </w:pPr>
      <w:r>
        <w:t xml:space="preserve">Présentation des résultats</w:t>
      </w:r>
    </w:p>
    <w:p>
      <w:pPr>
        <w:pStyle w:val="Compact"/>
        <w:numPr>
          <w:ilvl w:val="0"/>
          <w:numId w:val="1001"/>
        </w:numPr>
      </w:pPr>
      <w:r>
        <w:t xml:space="preserve">Conclusion</w:t>
      </w:r>
    </w:p>
    <w:bookmarkEnd w:id="24"/>
    <w:bookmarkEnd w:id="25"/>
    <w:bookmarkStart w:id="31" w:name="référence"/>
    <w:p>
      <w:pPr>
        <w:pStyle w:val="Heading1"/>
      </w:pPr>
      <w:r>
        <w:t xml:space="preserve">Référence</w:t>
      </w:r>
    </w:p>
    <w:p>
      <w:pPr>
        <w:pStyle w:val="FirstParagraph"/>
      </w:pPr>
      <w:r>
        <w:t xml:space="preserve">Article original :</w:t>
      </w:r>
      <w:r>
        <w:t xml:space="preserve"> </w:t>
      </w:r>
      <w:r>
        <w:t xml:space="preserve">&gt; Dickson, Rolland E. M.D.; Grambsch, Patricia M; Fleming, Thomas R; Fisher, Lloyd D.; Langworthy, Alice1. Prognosis in primary biliary cirrhosis: Model for decision making. Hepatology 10(1):p 1-7, July 1989. | DOI:</w:t>
      </w:r>
      <w:r>
        <w:t xml:space="preserve"> </w:t>
      </w:r>
      <w:hyperlink r:id="rId26">
        <w:r>
          <w:rPr>
            <w:rStyle w:val="Hyperlink"/>
          </w:rPr>
          <w:t xml:space="preserve">https://doi.org/10.1002/hep.1840100102</w:t>
        </w:r>
      </w:hyperlink>
    </w:p>
    <w:p>
      <w:pPr>
        <w:pStyle w:val="BodyText"/>
      </w:pPr>
      <w:r>
        <w:t xml:space="preserve">Jeu de données :</w:t>
      </w:r>
      <w:r>
        <w:t xml:space="preserve"> </w:t>
      </w:r>
      <w:r>
        <w:t xml:space="preserve">&gt; Dickson, E., Grambsch, P., Fleming, T., Fisher, L., &amp; Langworthy, A. (1989). Cirrhosis Patient Survival Prediction [Dataset]. UCI Machine Learning Repository.</w:t>
      </w:r>
      <w:r>
        <w:t xml:space="preserve"> </w:t>
      </w:r>
      <w:hyperlink r:id="rId27">
        <w:r>
          <w:rPr>
            <w:rStyle w:val="Hyperlink"/>
          </w:rPr>
          <w:t xml:space="preserve">https://doi.org/10.24432/C5R02G</w:t>
        </w:r>
      </w:hyperlink>
      <w:r>
        <w:t xml:space="preserve">.</w:t>
      </w:r>
    </w:p>
    <w:p>
      <w:pPr>
        <w:pStyle w:val="BodyText"/>
      </w:pPr>
      <w:r>
        <w:t xml:space="preserve">Information générale sur la CBP :</w:t>
      </w:r>
      <w:r>
        <w:t xml:space="preserve"> </w:t>
      </w:r>
      <w:hyperlink r:id="rId28">
        <w:r>
          <w:rPr>
            <w:rStyle w:val="Hyperlink"/>
          </w:rPr>
          <w:t xml:space="preserve">https://www.filfoie.com/glossary/cholangite-biliaire-primitive-cirrhose-biliaire-primitive/</w:t>
        </w:r>
      </w:hyperlink>
    </w:p>
    <w:p>
      <w:pPr>
        <w:pStyle w:val="BodyText"/>
      </w:pPr>
      <w:r>
        <w:t xml:space="preserve">Fiche synthétique de la Haute Autorité de Santé sur la CBP :</w:t>
      </w:r>
      <w:r>
        <w:t xml:space="preserve"> </w:t>
      </w:r>
      <w:hyperlink r:id="rId29">
        <w:r>
          <w:rPr>
            <w:rStyle w:val="Hyperlink"/>
          </w:rPr>
          <w:t xml:space="preserve">https://www.has-sante.fr/upload/docs/application/pdf/2021-11/synthese_mg_cholangite_biliaire_primitive.pdf</w:t>
        </w:r>
      </w:hyperlink>
    </w:p>
    <w:p>
      <w:pPr>
        <w:pStyle w:val="BodyText"/>
      </w:pPr>
      <w:r>
        <w:t xml:space="preserve">Site d’information sur la CBP :</w:t>
      </w:r>
      <w:r>
        <w:t xml:space="preserve"> </w:t>
      </w:r>
      <w:hyperlink r:id="rId30">
        <w:r>
          <w:rPr>
            <w:rStyle w:val="Hyperlink"/>
          </w:rPr>
          <w:t xml:space="preserve">https://www.fmcgastro.org/texte-postu/postu-2018-paris/cholangite-biliaire-primitive/</w:t>
        </w:r>
      </w:hyperlink>
    </w:p>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6" Target="https://doi.org/10.1002/hep.1840100102" TargetMode="External" /><Relationship Type="http://schemas.openxmlformats.org/officeDocument/2006/relationships/hyperlink" Id="rId27" Target="https://doi.org/10.24432/C5R02G" TargetMode="External" /><Relationship Type="http://schemas.openxmlformats.org/officeDocument/2006/relationships/hyperlink" Id="rId28" Target="https://www.filfoie.com/glossary/cholangite-biliaire-primitive-cirrhose-biliaire-primitive/" TargetMode="External" /><Relationship Type="http://schemas.openxmlformats.org/officeDocument/2006/relationships/hyperlink" Id="rId30" Target="https://www.fmcgastro.org/texte-postu/postu-2018-paris/cholangite-biliaire-primitive/" TargetMode="External" /><Relationship Type="http://schemas.openxmlformats.org/officeDocument/2006/relationships/hyperlink" Id="rId29" Target="https://www.has-sante.fr/upload/docs/application/pdf/2021-11/synthese_mg_cholangite_biliaire_primitive.pdf" TargetMode="External" /></Relationships>
</file>

<file path=word/_rels/footnotes.xml.rels><?xml version="1.0" encoding="UTF-8"?><Relationships xmlns="http://schemas.openxmlformats.org/package/2006/relationships"><Relationship Type="http://schemas.openxmlformats.org/officeDocument/2006/relationships/hyperlink" Id="rId26" Target="https://doi.org/10.1002/hep.1840100102" TargetMode="External" /><Relationship Type="http://schemas.openxmlformats.org/officeDocument/2006/relationships/hyperlink" Id="rId27" Target="https://doi.org/10.24432/C5R02G" TargetMode="External" /><Relationship Type="http://schemas.openxmlformats.org/officeDocument/2006/relationships/hyperlink" Id="rId28" Target="https://www.filfoie.com/glossary/cholangite-biliaire-primitive-cirrhose-biliaire-primitive/" TargetMode="External" /><Relationship Type="http://schemas.openxmlformats.org/officeDocument/2006/relationships/hyperlink" Id="rId30" Target="https://www.fmcgastro.org/texte-postu/postu-2018-paris/cholangite-biliaire-primitive/" TargetMode="External" /><Relationship Type="http://schemas.openxmlformats.org/officeDocument/2006/relationships/hyperlink" Id="rId29" Target="https://www.has-sante.fr/upload/docs/application/pdf/2021-11/synthese_mg_cholangite_biliaire_primitive.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Essai clinique de médicament sur la cholangite biliaire primitive</dc:title>
  <dc:creator/>
  <cp:keywords/>
  <dcterms:created xsi:type="dcterms:W3CDTF">2025-03-18T14:41:27Z</dcterms:created>
  <dcterms:modified xsi:type="dcterms:W3CDTF">2025-03-18T14:41:27Z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nkcolor">
    <vt:lpwstr>blue</vt:lpwstr>
  </property>
  <property fmtid="{D5CDD505-2E9C-101B-9397-08002B2CF9AE}" pid="3" name="output">
    <vt:lpwstr/>
  </property>
</Properties>
</file>