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4F" w:rsidRPr="0012114F" w:rsidRDefault="0012114F" w:rsidP="0012114F">
      <w:pPr>
        <w:pStyle w:val="1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Debug Commands</w:t>
      </w:r>
    </w:p>
    <w:p w:rsidR="007D72F5" w:rsidRPr="00D974EF" w:rsidRDefault="007D72F5" w:rsidP="007D72F5">
      <w:pPr>
        <w:widowControl/>
        <w:spacing w:before="180" w:after="100" w:afterAutospacing="1" w:line="160" w:lineRule="exact"/>
        <w:jc w:val="left"/>
        <w:outlineLvl w:val="2"/>
        <w:rPr>
          <w:rFonts w:ascii="Verdana" w:eastAsia="宋体" w:hAnsi="Verdana" w:cs="宋体"/>
          <w:color w:val="000000"/>
          <w:kern w:val="0"/>
          <w:sz w:val="15"/>
          <w:szCs w:val="18"/>
        </w:rPr>
      </w:pPr>
      <w:r w:rsidRPr="00D974EF">
        <w:rPr>
          <w:rFonts w:ascii="Verdana" w:eastAsia="宋体" w:hAnsi="Verdana" w:cs="宋体"/>
          <w:color w:val="000000"/>
          <w:kern w:val="0"/>
          <w:sz w:val="15"/>
          <w:szCs w:val="18"/>
        </w:rPr>
        <w:t>Breakpoint Commands</w:t>
      </w:r>
    </w:p>
    <w:p w:rsidR="007D72F5" w:rsidRPr="007D72F5" w:rsidRDefault="007D72F5" w:rsidP="007D72F5">
      <w:pPr>
        <w:widowControl/>
        <w:spacing w:before="100" w:beforeAutospacing="1" w:after="100" w:afterAutospacing="1" w:line="160" w:lineRule="exact"/>
        <w:jc w:val="left"/>
        <w:rPr>
          <w:rFonts w:ascii="Verdana" w:eastAsia="宋体" w:hAnsi="Verdana" w:cs="宋体"/>
          <w:color w:val="000000"/>
          <w:kern w:val="0"/>
          <w:sz w:val="15"/>
          <w:szCs w:val="18"/>
        </w:rPr>
      </w:pPr>
      <w:r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>Breakpoint commands create, delete, enable, disable, or list the breakpoints. Use breakpoints to halt program execution, to stop commands, or interrupt user functions.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370"/>
        <w:gridCol w:w="7056"/>
      </w:tblGrid>
      <w:tr w:rsidR="007D72F5" w:rsidRPr="007D72F5" w:rsidTr="007D72F5"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Command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Description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7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BreakAccess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 xml:space="preserve">Adds an access breakpoint with a </w:t>
            </w:r>
            <w:r w:rsidRPr="007D72F5">
              <w:rPr>
                <w:rFonts w:ascii="Verdana" w:eastAsia="宋体" w:hAnsi="Verdana" w:cs="宋体"/>
                <w:iCs/>
                <w:color w:val="000000"/>
                <w:kern w:val="0"/>
                <w:sz w:val="15"/>
                <w:szCs w:val="18"/>
              </w:rPr>
              <w:t>length</w:t>
            </w: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 xml:space="preserve"> parameter to the breakpoint list.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8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BreakDisable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Disables one or more breakpoints.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9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BreakEnable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Enables one or more breakpoints.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0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BreakKill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Removes one or more breakpoints from the breakpoint list.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1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BreakList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Lists the current breakpoints.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2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BreakSet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Adds a breakpoint expression to the list of breakpoints.</w:t>
            </w:r>
          </w:p>
        </w:tc>
      </w:tr>
    </w:tbl>
    <w:p w:rsidR="007D72F5" w:rsidRPr="007D72F5" w:rsidRDefault="007D72F5" w:rsidP="007D72F5">
      <w:pPr>
        <w:widowControl/>
        <w:spacing w:before="180" w:after="100" w:afterAutospacing="1" w:line="160" w:lineRule="exact"/>
        <w:jc w:val="left"/>
        <w:outlineLvl w:val="2"/>
        <w:rPr>
          <w:rFonts w:ascii="Verdana" w:eastAsia="宋体" w:hAnsi="Verdana" w:cs="宋体"/>
          <w:color w:val="000000"/>
          <w:kern w:val="0"/>
          <w:sz w:val="15"/>
          <w:szCs w:val="18"/>
        </w:rPr>
      </w:pPr>
      <w:r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>General Commands</w:t>
      </w:r>
    </w:p>
    <w:p w:rsidR="007D72F5" w:rsidRPr="007D72F5" w:rsidRDefault="007D72F5" w:rsidP="007D72F5">
      <w:pPr>
        <w:widowControl/>
        <w:spacing w:before="100" w:beforeAutospacing="1" w:after="100" w:afterAutospacing="1" w:line="160" w:lineRule="exact"/>
        <w:jc w:val="left"/>
        <w:rPr>
          <w:rFonts w:ascii="Verdana" w:eastAsia="宋体" w:hAnsi="Verdana" w:cs="宋体"/>
          <w:color w:val="000000"/>
          <w:kern w:val="0"/>
          <w:sz w:val="15"/>
          <w:szCs w:val="18"/>
        </w:rPr>
      </w:pPr>
      <w:r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>General commands perform a number of miscellaneous debugging operations.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074"/>
        <w:gridCol w:w="7352"/>
      </w:tblGrid>
      <w:tr w:rsidR="007D72F5" w:rsidRPr="007D72F5" w:rsidTr="007D72F5"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Command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Description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3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Assigns input and output sources for the Serial window.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4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DEFINE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Creates a Toolbox button.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5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DIR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Generates a directory of symbol names.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6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EXIT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Exits the debug mode.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7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INCLUDE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Reads and executes the commands in a command file.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8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KILL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Deletes user- or signal functions and Toolbox buttons.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19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Loads object modules, and HEX files.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0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LOG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Creates log files, queries log status, and closes log files for the Debug window.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1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MODE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Sets the baud rate, parity, and number of stop bits for PC COM ports.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2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RESET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Resets the CPU, memory map assignments, and predefined variables.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3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Saves a memory range in an Intel HEX386 file.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4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SCOPE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Displays address assignments of modules and functions of a target program.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5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SET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Sets the string value for predefined variables.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6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SIGNAL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Displays signal function status and removes active signal functions.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7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SLOG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Creates log files, queries log status, and closes log files for the Serial window.</w:t>
            </w:r>
          </w:p>
        </w:tc>
      </w:tr>
    </w:tbl>
    <w:p w:rsidR="007D72F5" w:rsidRPr="007D72F5" w:rsidRDefault="007D72F5" w:rsidP="007D72F5">
      <w:pPr>
        <w:widowControl/>
        <w:spacing w:before="180" w:after="100" w:afterAutospacing="1" w:line="160" w:lineRule="exact"/>
        <w:jc w:val="left"/>
        <w:outlineLvl w:val="2"/>
        <w:rPr>
          <w:rFonts w:ascii="Verdana" w:eastAsia="宋体" w:hAnsi="Verdana" w:cs="宋体"/>
          <w:bCs/>
          <w:color w:val="000000"/>
          <w:kern w:val="0"/>
          <w:sz w:val="15"/>
          <w:szCs w:val="19"/>
        </w:rPr>
      </w:pPr>
      <w:r w:rsidRPr="007D72F5">
        <w:rPr>
          <w:rFonts w:ascii="Verdana" w:eastAsia="宋体" w:hAnsi="Verdana" w:cs="宋体"/>
          <w:bCs/>
          <w:color w:val="000000"/>
          <w:kern w:val="0"/>
          <w:sz w:val="15"/>
          <w:szCs w:val="19"/>
        </w:rPr>
        <w:t>Memory Commands</w:t>
      </w:r>
    </w:p>
    <w:p w:rsidR="007D72F5" w:rsidRPr="007D72F5" w:rsidRDefault="007D72F5" w:rsidP="007D72F5">
      <w:pPr>
        <w:widowControl/>
        <w:spacing w:before="100" w:beforeAutospacing="1" w:after="100" w:afterAutospacing="1" w:line="160" w:lineRule="exact"/>
        <w:jc w:val="left"/>
        <w:rPr>
          <w:rFonts w:ascii="Verdana" w:eastAsia="宋体" w:hAnsi="Verdana" w:cs="宋体"/>
          <w:color w:val="000000"/>
          <w:kern w:val="0"/>
          <w:sz w:val="15"/>
          <w:szCs w:val="18"/>
        </w:rPr>
      </w:pPr>
      <w:r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>Memory commands display and change the content of memory.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795"/>
        <w:gridCol w:w="6631"/>
      </w:tblGrid>
      <w:tr w:rsidR="007D72F5" w:rsidRPr="007D72F5" w:rsidTr="007D72F5"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Command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Description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8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ASM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Assembles in-line code.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29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DEFINE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Defines symbols or Toolbar buttons.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0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Displays the content of memory.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1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ENTER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Enters values into a specified memory area.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2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EVALuate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Evaluates an expression and outputs the results.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3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MAP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Specifies access parameters for memory areas.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4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Unassemble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Disassembles program memory.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5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WatchSet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Adds a watch variable to the Watch window.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6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WatchKill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Kills all watch variable in the Watch window.</w:t>
            </w:r>
          </w:p>
        </w:tc>
      </w:tr>
    </w:tbl>
    <w:p w:rsidR="007D72F5" w:rsidRPr="007D72F5" w:rsidRDefault="007D72F5" w:rsidP="007D72F5">
      <w:pPr>
        <w:widowControl/>
        <w:spacing w:before="180" w:after="100" w:afterAutospacing="1" w:line="160" w:lineRule="exact"/>
        <w:jc w:val="left"/>
        <w:outlineLvl w:val="2"/>
        <w:rPr>
          <w:rFonts w:ascii="Verdana" w:eastAsia="宋体" w:hAnsi="Verdana" w:cs="宋体"/>
          <w:bCs/>
          <w:color w:val="000000"/>
          <w:kern w:val="0"/>
          <w:sz w:val="15"/>
          <w:szCs w:val="19"/>
        </w:rPr>
      </w:pPr>
      <w:r w:rsidRPr="007D72F5">
        <w:rPr>
          <w:rFonts w:ascii="Verdana" w:eastAsia="宋体" w:hAnsi="Verdana" w:cs="宋体"/>
          <w:bCs/>
          <w:color w:val="000000"/>
          <w:kern w:val="0"/>
          <w:sz w:val="15"/>
          <w:szCs w:val="19"/>
        </w:rPr>
        <w:t>Program Commands</w:t>
      </w:r>
    </w:p>
    <w:p w:rsidR="007D72F5" w:rsidRPr="007D72F5" w:rsidRDefault="007D72F5" w:rsidP="007D72F5">
      <w:pPr>
        <w:widowControl/>
        <w:spacing w:before="100" w:beforeAutospacing="1" w:after="100" w:afterAutospacing="1" w:line="160" w:lineRule="exact"/>
        <w:jc w:val="left"/>
        <w:rPr>
          <w:rFonts w:ascii="Verdana" w:eastAsia="宋体" w:hAnsi="Verdana" w:cs="宋体"/>
          <w:color w:val="000000"/>
          <w:kern w:val="0"/>
          <w:sz w:val="15"/>
          <w:szCs w:val="18"/>
        </w:rPr>
      </w:pPr>
      <w:r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>Program commands execute target programs and analyze their performance.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961"/>
        <w:gridCol w:w="6465"/>
      </w:tblGrid>
      <w:tr w:rsidR="007D72F5" w:rsidRPr="007D72F5" w:rsidTr="007D72F5"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Command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000080"/>
            <w:noWrap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bCs/>
                <w:color w:val="FFFFFF"/>
                <w:kern w:val="0"/>
                <w:sz w:val="15"/>
                <w:szCs w:val="18"/>
              </w:rPr>
              <w:t>Description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7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COVERAGE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Displays code coverage information.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8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Go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Starts program execution.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39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LogicAnalyze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Adds, deletes, or displays Logic Analyser variables.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40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PerformanceAnalyze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Adds, deletes, displays, or resets the Performance Analyzer ranges.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41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Pstep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Steps over instructions but does not step into procedures or functions.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42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Ostep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Steps out of the current function.</w:t>
            </w:r>
          </w:p>
        </w:tc>
      </w:tr>
      <w:tr w:rsidR="007D72F5" w:rsidRPr="007D72F5" w:rsidTr="007D72F5"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noWrap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CC502B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hyperlink r:id="rId43" w:history="1">
              <w:r w:rsidR="007D72F5" w:rsidRPr="007D72F5">
                <w:rPr>
                  <w:rFonts w:ascii="Verdana" w:eastAsia="宋体" w:hAnsi="Verdana" w:cs="宋体"/>
                  <w:bCs/>
                  <w:color w:val="0000FF"/>
                  <w:kern w:val="0"/>
                  <w:sz w:val="15"/>
                  <w:u w:val="single"/>
                </w:rPr>
                <w:t>Tstep</w:t>
              </w:r>
            </w:hyperlink>
          </w:p>
        </w:tc>
        <w:tc>
          <w:tcPr>
            <w:tcW w:w="0" w:type="auto"/>
            <w:tcBorders>
              <w:top w:val="single" w:sz="4" w:space="0" w:color="A0A0A0"/>
            </w:tcBorders>
            <w:shd w:val="clear" w:color="auto" w:fill="E0E0E0"/>
            <w:tcMar>
              <w:top w:w="20" w:type="dxa"/>
              <w:left w:w="60" w:type="dxa"/>
              <w:bottom w:w="20" w:type="dxa"/>
              <w:right w:w="60" w:type="dxa"/>
            </w:tcMar>
            <w:hideMark/>
          </w:tcPr>
          <w:p w:rsidR="007D72F5" w:rsidRPr="007D72F5" w:rsidRDefault="007D72F5" w:rsidP="007D72F5">
            <w:pPr>
              <w:widowControl/>
              <w:spacing w:line="160" w:lineRule="exac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</w:pPr>
            <w:r w:rsidRPr="007D72F5">
              <w:rPr>
                <w:rFonts w:ascii="Verdana" w:eastAsia="宋体" w:hAnsi="Verdana" w:cs="宋体"/>
                <w:color w:val="000000"/>
                <w:kern w:val="0"/>
                <w:sz w:val="15"/>
                <w:szCs w:val="18"/>
              </w:rPr>
              <w:t>Steps over instructions and into functions.</w:t>
            </w:r>
          </w:p>
        </w:tc>
      </w:tr>
    </w:tbl>
    <w:p w:rsidR="007D72F5" w:rsidRPr="007D72F5" w:rsidRDefault="007D72F5" w:rsidP="007D72F5">
      <w:pPr>
        <w:widowControl/>
        <w:spacing w:before="100" w:beforeAutospacing="1" w:after="30" w:line="160" w:lineRule="exact"/>
        <w:jc w:val="left"/>
        <w:rPr>
          <w:rFonts w:ascii="Verdana" w:eastAsia="宋体" w:hAnsi="Verdana" w:cs="宋体"/>
          <w:bCs/>
          <w:color w:val="000000"/>
          <w:kern w:val="0"/>
          <w:sz w:val="15"/>
          <w:szCs w:val="18"/>
        </w:rPr>
      </w:pPr>
      <w:r w:rsidRPr="007D72F5">
        <w:rPr>
          <w:rFonts w:ascii="Verdana" w:eastAsia="宋体" w:hAnsi="Verdana" w:cs="宋体"/>
          <w:bCs/>
          <w:noProof/>
          <w:color w:val="000000"/>
          <w:kern w:val="0"/>
          <w:sz w:val="15"/>
          <w:szCs w:val="18"/>
        </w:rPr>
        <w:drawing>
          <wp:inline distT="0" distB="0" distL="0" distR="0">
            <wp:extent cx="95250" cy="95250"/>
            <wp:effectExtent l="19050" t="0" r="0" b="0"/>
            <wp:docPr id="1" name="图片 1" descr="ms-its:C:\Keil\ARM\HLP\uv4.chm::/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-its:C:\Keil\ARM\HLP\uv4.chm::/note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2F5">
        <w:rPr>
          <w:rFonts w:ascii="Verdana" w:eastAsia="宋体" w:hAnsi="Verdana" w:cs="宋体"/>
          <w:bCs/>
          <w:color w:val="000000"/>
          <w:kern w:val="0"/>
          <w:sz w:val="15"/>
          <w:szCs w:val="18"/>
        </w:rPr>
        <w:t>Note</w:t>
      </w:r>
    </w:p>
    <w:p w:rsidR="007D72F5" w:rsidRPr="007D72F5" w:rsidRDefault="00CC502B" w:rsidP="007D72F5">
      <w:pPr>
        <w:widowControl/>
        <w:numPr>
          <w:ilvl w:val="0"/>
          <w:numId w:val="1"/>
        </w:numPr>
        <w:spacing w:before="100" w:beforeAutospacing="1" w:after="60" w:line="160" w:lineRule="exact"/>
        <w:jc w:val="left"/>
        <w:rPr>
          <w:rFonts w:ascii="Verdana" w:eastAsia="宋体" w:hAnsi="Verdana" w:cs="宋体"/>
          <w:color w:val="000000"/>
          <w:kern w:val="0"/>
          <w:sz w:val="15"/>
          <w:szCs w:val="18"/>
        </w:rPr>
      </w:pPr>
      <w:hyperlink r:id="rId45" w:history="1">
        <w:r w:rsidR="007D72F5" w:rsidRPr="007D72F5">
          <w:rPr>
            <w:rFonts w:ascii="Verdana" w:eastAsia="宋体" w:hAnsi="Verdana" w:cs="宋体"/>
            <w:color w:val="0000FF"/>
            <w:kern w:val="0"/>
            <w:sz w:val="15"/>
            <w:u w:val="single"/>
          </w:rPr>
          <w:t>Expressions</w:t>
        </w:r>
      </w:hyperlink>
      <w:r w:rsidR="007D72F5"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 xml:space="preserve"> describes the debug commands syntax and offers additional examples. </w:t>
      </w:r>
    </w:p>
    <w:p w:rsidR="007D72F5" w:rsidRPr="007D72F5" w:rsidRDefault="00CC502B" w:rsidP="007D72F5">
      <w:pPr>
        <w:widowControl/>
        <w:numPr>
          <w:ilvl w:val="0"/>
          <w:numId w:val="1"/>
        </w:numPr>
        <w:spacing w:before="100" w:beforeAutospacing="1" w:after="60" w:line="160" w:lineRule="exact"/>
        <w:jc w:val="left"/>
        <w:rPr>
          <w:rFonts w:ascii="Verdana" w:eastAsia="宋体" w:hAnsi="Verdana" w:cs="宋体"/>
          <w:color w:val="000000"/>
          <w:kern w:val="0"/>
          <w:sz w:val="15"/>
          <w:szCs w:val="18"/>
        </w:rPr>
      </w:pPr>
      <w:hyperlink r:id="rId46" w:history="1">
        <w:r w:rsidR="007D72F5" w:rsidRPr="007D72F5">
          <w:rPr>
            <w:rFonts w:ascii="Verdana" w:eastAsia="宋体" w:hAnsi="Verdana" w:cs="宋体"/>
            <w:color w:val="0000FF"/>
            <w:kern w:val="0"/>
            <w:sz w:val="15"/>
            <w:u w:val="single"/>
          </w:rPr>
          <w:t>Fully Qualified Symbols</w:t>
        </w:r>
      </w:hyperlink>
      <w:r w:rsidR="007D72F5"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 xml:space="preserve"> explains the use of symbols. </w:t>
      </w:r>
    </w:p>
    <w:p w:rsidR="007D72F5" w:rsidRPr="007D72F5" w:rsidRDefault="00CC502B" w:rsidP="007D72F5">
      <w:pPr>
        <w:widowControl/>
        <w:numPr>
          <w:ilvl w:val="0"/>
          <w:numId w:val="1"/>
        </w:numPr>
        <w:spacing w:before="100" w:beforeAutospacing="1" w:after="60" w:line="160" w:lineRule="exact"/>
        <w:jc w:val="left"/>
        <w:rPr>
          <w:rFonts w:ascii="Verdana" w:eastAsia="宋体" w:hAnsi="Verdana" w:cs="宋体"/>
          <w:color w:val="000000"/>
          <w:kern w:val="0"/>
          <w:sz w:val="15"/>
          <w:szCs w:val="18"/>
        </w:rPr>
      </w:pPr>
      <w:hyperlink r:id="rId47" w:history="1">
        <w:r w:rsidR="007D72F5" w:rsidRPr="007D72F5">
          <w:rPr>
            <w:rFonts w:ascii="Verdana" w:eastAsia="宋体" w:hAnsi="Verdana" w:cs="宋体"/>
            <w:color w:val="0000FF"/>
            <w:kern w:val="0"/>
            <w:sz w:val="15"/>
            <w:u w:val="single"/>
          </w:rPr>
          <w:t>System Variables</w:t>
        </w:r>
      </w:hyperlink>
      <w:r w:rsidR="007D72F5" w:rsidRPr="007D72F5">
        <w:rPr>
          <w:rFonts w:ascii="Verdana" w:eastAsia="宋体" w:hAnsi="Verdana" w:cs="宋体"/>
          <w:color w:val="000000"/>
          <w:kern w:val="0"/>
          <w:sz w:val="15"/>
          <w:szCs w:val="18"/>
        </w:rPr>
        <w:t xml:space="preserve"> help setting or querying specific system functions.</w:t>
      </w:r>
    </w:p>
    <w:p w:rsidR="00C9214D" w:rsidRPr="007D72F5" w:rsidRDefault="00C9214D" w:rsidP="007D72F5">
      <w:pPr>
        <w:spacing w:line="160" w:lineRule="exact"/>
        <w:rPr>
          <w:sz w:val="15"/>
        </w:rPr>
      </w:pPr>
    </w:p>
    <w:sectPr w:rsidR="00C9214D" w:rsidRPr="007D72F5" w:rsidSect="00A95C2F">
      <w:pgSz w:w="11906" w:h="16838"/>
      <w:pgMar w:top="426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370" w:rsidRDefault="00816370" w:rsidP="007D72F5">
      <w:r>
        <w:separator/>
      </w:r>
    </w:p>
  </w:endnote>
  <w:endnote w:type="continuationSeparator" w:id="1">
    <w:p w:rsidR="00816370" w:rsidRDefault="00816370" w:rsidP="007D7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370" w:rsidRDefault="00816370" w:rsidP="007D72F5">
      <w:r>
        <w:separator/>
      </w:r>
    </w:p>
  </w:footnote>
  <w:footnote w:type="continuationSeparator" w:id="1">
    <w:p w:rsidR="00816370" w:rsidRDefault="00816370" w:rsidP="007D72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D7AA8"/>
    <w:multiLevelType w:val="multilevel"/>
    <w:tmpl w:val="00FE52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2F5"/>
    <w:rsid w:val="000B35A3"/>
    <w:rsid w:val="0012114F"/>
    <w:rsid w:val="002836E4"/>
    <w:rsid w:val="003C7EF4"/>
    <w:rsid w:val="007D72F5"/>
    <w:rsid w:val="00816370"/>
    <w:rsid w:val="00A041B1"/>
    <w:rsid w:val="00A95C2F"/>
    <w:rsid w:val="00C9214D"/>
    <w:rsid w:val="00CC502B"/>
    <w:rsid w:val="00D9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0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D72F5"/>
    <w:pPr>
      <w:widowControl/>
      <w:spacing w:before="180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2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2F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72F5"/>
    <w:rPr>
      <w:rFonts w:ascii="宋体" w:eastAsia="宋体" w:hAnsi="宋体" w:cs="宋体"/>
      <w:b/>
      <w:bCs/>
      <w:kern w:val="0"/>
      <w:sz w:val="25"/>
      <w:szCs w:val="25"/>
    </w:rPr>
  </w:style>
  <w:style w:type="character" w:styleId="a5">
    <w:name w:val="Hyperlink"/>
    <w:basedOn w:val="a0"/>
    <w:uiPriority w:val="99"/>
    <w:semiHidden/>
    <w:unhideWhenUsed/>
    <w:rsid w:val="007D72F5"/>
    <w:rPr>
      <w:color w:val="0000FF"/>
      <w:u w:val="single"/>
    </w:rPr>
  </w:style>
  <w:style w:type="paragraph" w:customStyle="1" w:styleId="note">
    <w:name w:val="note"/>
    <w:basedOn w:val="a"/>
    <w:rsid w:val="007D72F5"/>
    <w:pPr>
      <w:widowControl/>
      <w:spacing w:before="100" w:beforeAutospacing="1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D7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7D72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72F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D72F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D72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114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its:C:\Keil\ARM\HLP\uv4.chm::/uv4_cm_assign.htm" TargetMode="External"/><Relationship Id="rId18" Type="http://schemas.openxmlformats.org/officeDocument/2006/relationships/hyperlink" Target="ms-its:C:\Keil\ARM\HLP\uv4.chm::/uv4_cm_kill.htm" TargetMode="External"/><Relationship Id="rId26" Type="http://schemas.openxmlformats.org/officeDocument/2006/relationships/hyperlink" Target="ms-its:C:\Keil\ARM\HLP\uv4.chm::/uv4_cm_signal.htm" TargetMode="External"/><Relationship Id="rId39" Type="http://schemas.openxmlformats.org/officeDocument/2006/relationships/hyperlink" Target="ms-its:C:\Keil\ARM\HLP\uv4.chm::/uv4_cm_la.htm" TargetMode="External"/><Relationship Id="rId3" Type="http://schemas.openxmlformats.org/officeDocument/2006/relationships/settings" Target="settings.xml"/><Relationship Id="rId21" Type="http://schemas.openxmlformats.org/officeDocument/2006/relationships/hyperlink" Target="ms-its:C:\Keil\ARM\HLP\uv4.chm::/uv4_cm_mode.htm" TargetMode="External"/><Relationship Id="rId34" Type="http://schemas.openxmlformats.org/officeDocument/2006/relationships/hyperlink" Target="ms-its:C:\Keil\ARM\HLP\uv4.chm::/uv4_cm_unassemble.htm" TargetMode="External"/><Relationship Id="rId42" Type="http://schemas.openxmlformats.org/officeDocument/2006/relationships/hyperlink" Target="ms-its:C:\Keil\ARM\HLP\uv4.chm::/uv4_cm_ostep.htm" TargetMode="External"/><Relationship Id="rId47" Type="http://schemas.openxmlformats.org/officeDocument/2006/relationships/hyperlink" Target="ms-its:C:\Keil\ARM\HLP\uv4.chm::/uv4_db_exp_sysvariables.htm" TargetMode="External"/><Relationship Id="rId7" Type="http://schemas.openxmlformats.org/officeDocument/2006/relationships/hyperlink" Target="ms-its:C:\Keil\ARM\HLP\uv4.chm::/uv4_cm_breakaccess.htm" TargetMode="External"/><Relationship Id="rId12" Type="http://schemas.openxmlformats.org/officeDocument/2006/relationships/hyperlink" Target="ms-its:C:\Keil\ARM\HLP\uv4.chm::/uv4_cm_breakset.htm" TargetMode="External"/><Relationship Id="rId17" Type="http://schemas.openxmlformats.org/officeDocument/2006/relationships/hyperlink" Target="ms-its:C:\Keil\ARM\HLP\uv4.chm::/uv4_cm_include.htm" TargetMode="External"/><Relationship Id="rId25" Type="http://schemas.openxmlformats.org/officeDocument/2006/relationships/hyperlink" Target="ms-its:C:\Keil\ARM\HLP\uv4.chm::/uv4_cm_set.htm" TargetMode="External"/><Relationship Id="rId33" Type="http://schemas.openxmlformats.org/officeDocument/2006/relationships/hyperlink" Target="ms-its:C:\Keil\ARM\HLP\uv4.chm::/uv4_cm_map.htm" TargetMode="External"/><Relationship Id="rId38" Type="http://schemas.openxmlformats.org/officeDocument/2006/relationships/hyperlink" Target="ms-its:C:\Keil\ARM\HLP\uv4.chm::/uv4_cm_go.htm" TargetMode="External"/><Relationship Id="rId46" Type="http://schemas.openxmlformats.org/officeDocument/2006/relationships/hyperlink" Target="ms-its:C:\Keil\ARM\HLP\uv4.chm::/uv4_db_exp_symb_fq.htm" TargetMode="External"/><Relationship Id="rId2" Type="http://schemas.openxmlformats.org/officeDocument/2006/relationships/styles" Target="styles.xml"/><Relationship Id="rId16" Type="http://schemas.openxmlformats.org/officeDocument/2006/relationships/hyperlink" Target="ms-its:C:\Keil\ARM\HLP\uv4.chm::/uv4_cm_exit.htm" TargetMode="External"/><Relationship Id="rId20" Type="http://schemas.openxmlformats.org/officeDocument/2006/relationships/hyperlink" Target="ms-its:C:\Keil\ARM\HLP\uv4.chm::/uv4_cm_log.htm" TargetMode="External"/><Relationship Id="rId29" Type="http://schemas.openxmlformats.org/officeDocument/2006/relationships/hyperlink" Target="ms-its:C:\Keil\ARM\HLP\uv4.chm::/uv4_cm_define.htm" TargetMode="External"/><Relationship Id="rId41" Type="http://schemas.openxmlformats.org/officeDocument/2006/relationships/hyperlink" Target="ms-its:C:\Keil\ARM\HLP\uv4.chm::/uv4_cm_pstep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s-its:C:\Keil\ARM\HLP\uv4.chm::/uv4_cm_breaklist.htm" TargetMode="External"/><Relationship Id="rId24" Type="http://schemas.openxmlformats.org/officeDocument/2006/relationships/hyperlink" Target="ms-its:C:\Keil\ARM\HLP\uv4.chm::/uv4_cm_scope.htm" TargetMode="External"/><Relationship Id="rId32" Type="http://schemas.openxmlformats.org/officeDocument/2006/relationships/hyperlink" Target="ms-its:C:\Keil\ARM\HLP\uv4.chm::/uv4_cm_evaluate.htm" TargetMode="External"/><Relationship Id="rId37" Type="http://schemas.openxmlformats.org/officeDocument/2006/relationships/hyperlink" Target="ms-its:C:\Keil\ARM\HLP\uv4.chm::/uv4_cm_coverage.htm" TargetMode="External"/><Relationship Id="rId40" Type="http://schemas.openxmlformats.org/officeDocument/2006/relationships/hyperlink" Target="ms-its:C:\Keil\ARM\HLP\uv4.chm::/uv4_cm_perfanalyze.htm" TargetMode="External"/><Relationship Id="rId45" Type="http://schemas.openxmlformats.org/officeDocument/2006/relationships/hyperlink" Target="ms-its:C:\Keil\ARM\HLP\uv4.chm::/uv4_db_expressions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ms-its:C:\Keil\ARM\HLP\uv4.chm::/uv4_cm_dir.htm" TargetMode="External"/><Relationship Id="rId23" Type="http://schemas.openxmlformats.org/officeDocument/2006/relationships/hyperlink" Target="ms-its:C:\Keil\ARM\HLP\uv4.chm::/uv4_cm_save.htm" TargetMode="External"/><Relationship Id="rId28" Type="http://schemas.openxmlformats.org/officeDocument/2006/relationships/hyperlink" Target="ms-its:C:\Keil\ARM\HLP\uv4.chm::/uv4_cm_asm.htm" TargetMode="External"/><Relationship Id="rId36" Type="http://schemas.openxmlformats.org/officeDocument/2006/relationships/hyperlink" Target="ms-its:C:\Keil\ARM\HLP\uv4.chm::/uv4_cm_watchkill.htm" TargetMode="External"/><Relationship Id="rId49" Type="http://schemas.openxmlformats.org/officeDocument/2006/relationships/theme" Target="theme/theme1.xml"/><Relationship Id="rId10" Type="http://schemas.openxmlformats.org/officeDocument/2006/relationships/hyperlink" Target="ms-its:C:\Keil\ARM\HLP\uv4.chm::/uv4_cm_breakkill.htm" TargetMode="External"/><Relationship Id="rId19" Type="http://schemas.openxmlformats.org/officeDocument/2006/relationships/hyperlink" Target="ms-its:C:\Keil\ARM\HLP\uv4.chm::/uv4_cm_load.htm" TargetMode="External"/><Relationship Id="rId31" Type="http://schemas.openxmlformats.org/officeDocument/2006/relationships/hyperlink" Target="ms-its:C:\Keil\ARM\HLP\uv4.chm::/uv4_cm_enter.htm" TargetMode="External"/><Relationship Id="rId44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ms-its:C:\Keil\ARM\HLP\uv4.chm::/uv4_cm_breakenable.htm" TargetMode="External"/><Relationship Id="rId14" Type="http://schemas.openxmlformats.org/officeDocument/2006/relationships/hyperlink" Target="ms-its:C:\Keil\ARM\HLP\uv4.chm::/uv4_cm_define.htm" TargetMode="External"/><Relationship Id="rId22" Type="http://schemas.openxmlformats.org/officeDocument/2006/relationships/hyperlink" Target="ms-its:C:\Keil\ARM\HLP\uv4.chm::/uv4_cm_reset.htm" TargetMode="External"/><Relationship Id="rId27" Type="http://schemas.openxmlformats.org/officeDocument/2006/relationships/hyperlink" Target="ms-its:C:\Keil\ARM\HLP\uv4.chm::/uv4_cm_slog.htm" TargetMode="External"/><Relationship Id="rId30" Type="http://schemas.openxmlformats.org/officeDocument/2006/relationships/hyperlink" Target="ms-its:C:\Keil\ARM\HLP\uv4.chm::/uv4_cm_display.htm" TargetMode="External"/><Relationship Id="rId35" Type="http://schemas.openxmlformats.org/officeDocument/2006/relationships/hyperlink" Target="ms-its:C:\Keil\ARM\HLP\uv4.chm::/uv4_cm_watchset.htm" TargetMode="External"/><Relationship Id="rId43" Type="http://schemas.openxmlformats.org/officeDocument/2006/relationships/hyperlink" Target="ms-its:C:\Keil\ARM\HLP\uv4.chm::/uv4_cm_tstep.htm" TargetMode="External"/><Relationship Id="rId48" Type="http://schemas.openxmlformats.org/officeDocument/2006/relationships/fontTable" Target="fontTable.xml"/><Relationship Id="rId8" Type="http://schemas.openxmlformats.org/officeDocument/2006/relationships/hyperlink" Target="ms-its:C:\Keil\ARM\HLP\uv4.chm::/uv4_cm_breakdisab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842</Words>
  <Characters>4803</Characters>
  <Application>Microsoft Office Word</Application>
  <DocSecurity>0</DocSecurity>
  <Lines>40</Lines>
  <Paragraphs>11</Paragraphs>
  <ScaleCrop>false</ScaleCrop>
  <Company>QUINTIC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41</cp:revision>
  <dcterms:created xsi:type="dcterms:W3CDTF">2012-09-13T05:24:00Z</dcterms:created>
  <dcterms:modified xsi:type="dcterms:W3CDTF">2012-09-13T10:43:00Z</dcterms:modified>
</cp:coreProperties>
</file>