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32d64a46-b005-4bcf-9740-1aa4f85f83f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32d64a46-b005-4bcf-9740-1aa4f85f83f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Executive Summary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proposal outlines a structured engagement designed to assess your organization's readiness for Artificial Intelligence (AI) adoption and expansion. Apex AI™ Readiness Framework provides a clear roadmap for navigating the complexities of AI governance, mitigating potential risks, and maximizing the strategic value of AI investments. [MSP Name] offers a unique and commercially focused assessment that delivers actionable insights and fosters board-level confidence in your AI strategy.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Current State &amp; Risk Context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Many organizations face challenges in effectively governing their AI initiatives, leading to increased risk exposure and unrealized potential. This includes: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Lack of Strategic Alignment: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AI projects not directly contributing to core business objectives.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Governance Gaps: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Insufficient policies and procedures for responsible AI development and deployment.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Data Security &amp; Privacy Concerns: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Inadequate protection of sensitive data used in AI models.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Ethical Considerations: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Failure to address bias, fairness, and transparency in AI algorithms.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Compliance Requirements: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Non-compliance with evolving AI regulations and standards.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Apex AI™ Readiness Framework addresses these critical challenges by providing a comprehensive assessment of your current state and identifying key areas for improvement.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Scope of Engagement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engagement encompasses a thorough evaluation of your organization's AI governance framework, technical infrastructure, data management practices, and risk mitigation strategies. The assessment will cover the following key areas: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AI Strategy &amp; Governance: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Alignment with business objectives, governance structures, and ethical considerations.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Data Readiness: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Data quality, availability, security, and compliance.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Technical Infrastructure: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Scalability, security, and performance of AI platforms and tools.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Risk Management: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Identification and mitigation of potential risks associated with AI deployment.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Skills &amp; Expertise: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Availability of internal talent and expertise for AI development and management.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Apex AI™ Maturity Model Overview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Apex AI™ Maturity Model provides a structured framework for assessing and improving your organization's AI capabilities. The model consists of five distinct stages: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Ad-hoc: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Limited AI adoption with no formal governance framework.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Reactive: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AI initiatives driven by specific needs with limited coordination.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Defined: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Established AI governance policies and procedures.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Managed: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Proactive management of AI risks and performance.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Optimized: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Continuous improvement and innovation in AI governance and deployment.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Assessment Methodology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Our assessment methodology combines a series of structured interviews, document reviews, and technical evaluations to provide a comprehensive understanding of your organization's AI readiness. The key steps include: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Stakeholder Interviews: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Engaging with key stakeholders across business and IT to gather insights and perspectives.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Document Review: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Reviewing existing policies, procedures, and technical documentation related to AI.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Technical Assessment: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Evaluating the security, scalability, and performance of your AI infrastructure.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Gap Analysis: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Identifying areas where your organization falls short of leading practices.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Maturity Scoring: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Assigning a maturity score based on the Apex AI™ Maturity Model.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Deliverables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Upon completion of the assessment, you will receive the following deliverables: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Apex AI™ Readiness Report: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 comprehensive report summarizing the findings of the assessment, including your organization's maturity score and key areas for improvement.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Risk Assessment Report: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 detailed analysis of potential risks associated with your AI initiatives, along with recommendations for mitigation.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Actionable Roadmap: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 prioritized roadmap outlining the steps required to achieve your desired level of AI maturity.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Executive Presentation: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A concise presentation summarizing the key findings and recommendations for executive leadership.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Commercial Investment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We offer flexible pricing options to align with your specific needs and budget. Below are example tiers: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Tier 1: Foundation Assessment: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[Placeholder Price] - Core readiness assessment with maturity scoring.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Tier 2: Enhanced Assessment: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[Placeholder Price] - Includes risk assessment and actionable roadmap.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Tier 3: Comprehensive Assessment: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[Placeholder Price] - Full assessment, roadmap, and executive presentation.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Italics" w:hAnsi="Arimo Italics" w:cs="Arimo Italics" w:eastAsia="Arimo Italics"/>
          <w:i/>
          <w:iCs/>
          <w:color w:val="000000"/>
          <w:sz w:val="24"/>
          <w:szCs w:val="24"/>
        </w:rPr>
        <w:t>Note: Pricing is subject to final scoping and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Project Timeline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project timeline will vary depending on the scope of the engagement. A typical assessment can be completed within [Placeholder Number] weeks. We will work closely with your team to establish a mutually agreeable timeline that minimizes disruption to your operations.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Why [MSP Name]?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[MSP Name] brings a unique blend of strategic consulting expertise and technical proficiency to AI governance. We are uniquely positioned to provide value because of: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Proven Track Record: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Successfully guided organizations through complex AI transformations.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Deep Expertise: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Subject matter experts in AI governance, risk management, and data security.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Commercial Focus: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Focused on delivering tangible business outcomes and maximizing ROI.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Board-Level Communication: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Experienced in presenting complex information in a clear and concise manner for executive audiences.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Terms &amp; Next Steps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This proposal is valid for [Placeholder Number] days from the date of issuance. To proceed with the Apex AI™ Readiness Framework assessment, please review and sign the Acceptance Page. We look forward to partnering with you on your AI journey.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orben Bold" w:hAnsi="Corben Bold" w:cs="Corben Bold" w:eastAsia="Corben Bold"/>
                <w:b/>
                <w:bCs/>
                <w:color w:val="004aad"/>
                <w:sz w:val="40"/>
                <w:szCs w:val="40"/>
              </w:rPr>
              <w:t xml:space="preserve">Acceptance Page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By signing below, you agree to the terms and conditions outlined in this proposal. Please provide the following information: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Organization Name: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Authorized Signature: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Printed Name: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Title: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Apex AI™ Readiness Framework empowers organisations to gain control of their AI initiatives. From current state, to future roadmap, this framework helps to clarify a path to future success in a rapidly changing environment.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Now Thin">
    <w:panose1 w:val="00000300000000000000"/>
    <w:charset w:characterSet="1"/>
    <w:embedRegular r:id="rId5"/>
  </w:font>
  <w:font w:name="Now">
    <w:panose1 w:val="00000500000000000000"/>
    <w:charset w:characterSet="1"/>
    <w:embedRegular r:id="rId6"/>
  </w:font>
  <w:font w:name="Now Light">
    <w:panose1 w:val="00000400000000000000"/>
    <w:charset w:characterSet="1"/>
    <w:embedRegular r:id="rId7"/>
  </w:font>
  <w:font w:name="Now Medium">
    <w:panose1 w:val="00000600000000000000"/>
    <w:charset w:characterSet="1"/>
    <w:embedBold r:id="rId8"/>
  </w:font>
  <w:font w:name="Now Bold">
    <w:panose1 w:val="00000800000000000000"/>
    <w:charset w:characterSet="1"/>
    <w:embedBold r:id="rId9"/>
  </w:font>
  <w:font w:name="Now Heavy">
    <w:panose1 w:val="00000A00000000000000"/>
    <w:charset w:characterSet="1"/>
    <w:embedBold r:id="rId10"/>
  </w:font>
  <w:font w:name="Bricolage Grotesque Semi-Bold">
    <w:panose1 w:val="020B0605040402000204"/>
    <w:charset w:characterSet="1"/>
    <w:embedBold r:id="rId11"/>
  </w:font>
  <w:font w:name="Bricolage Grotesque">
    <w:panose1 w:val="020B0605040402000204"/>
    <w:charset w:characterSet="1"/>
    <w:embedRegular r:id="rId12"/>
  </w:font>
  <w:font w:name="Bricolage Grotesque Light">
    <w:panose1 w:val="020B0605040402000204"/>
    <w:charset w:characterSet="1"/>
    <w:embedRegular r:id="rId13"/>
  </w:font>
  <w:font w:name="Bricolage Grotesque Medium">
    <w:panose1 w:val="020B0605040402000204"/>
    <w:charset w:characterSet="1"/>
    <w:embedBold r:id="rId14"/>
  </w:font>
  <w:font w:name="Bricolage Grotesque Bold">
    <w:panose1 w:val="020B0605040402000204"/>
    <w:charset w:characterSet="1"/>
    <w:embedBold r:id="rId15"/>
  </w:font>
  <w:font w:name="Bricolage Grotesque Extra-Light">
    <w:panose1 w:val="020B0605040402000204"/>
    <w:charset w:characterSet="1"/>
    <w:embedRegular r:id="rId16"/>
  </w:font>
  <w:font w:name="Bricolage Grotesque Ultra-Bold">
    <w:panose1 w:val="020B0605040402000204"/>
    <w:charset w:characterSet="1"/>
    <w:embedBold r:id="rId17"/>
  </w:font>
  <w:font w:name="Corben">
    <w:panose1 w:val="020F0503020000020004"/>
    <w:charset w:characterSet="1"/>
    <w:embedRegular r:id="rId18"/>
  </w:font>
  <w:font w:name="Corben Bold">
    <w:panose1 w:val="020F0505020000020004"/>
    <w:charset w:characterSet="1"/>
    <w:embedBold r:id="rId19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18" Target="fonts/font18.odttf" Type="http://schemas.openxmlformats.org/officeDocument/2006/relationships/font"/><Relationship Id="rId19" Target="fonts/font19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2026-02-16T23:48:01Z</dcterms:created>
  <dc:creator>Apache POI</dc:creator>
</cp:coreProperties>
</file>